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FD5F5" w14:textId="77777777" w:rsidR="00804D1F" w:rsidRPr="00663221" w:rsidRDefault="00804D1F" w:rsidP="00804D1F">
      <w:pPr>
        <w:jc w:val="center"/>
        <w:rPr>
          <w:b/>
          <w:lang w:val="en-US"/>
        </w:rPr>
      </w:pPr>
      <w:r>
        <w:rPr>
          <w:b/>
          <w:lang w:val="en-US"/>
        </w:rPr>
        <w:t>APPENDIX</w:t>
      </w:r>
      <w:r w:rsidRPr="00663221">
        <w:rPr>
          <w:b/>
          <w:lang w:val="en-US"/>
        </w:rPr>
        <w:t xml:space="preserve"> NO. 2 TO THE TERMS OF REFERENCE</w:t>
      </w:r>
    </w:p>
    <w:p w14:paraId="42100746" w14:textId="77777777" w:rsidR="00804D1F" w:rsidRPr="00663221" w:rsidRDefault="00804D1F" w:rsidP="00804D1F">
      <w:pPr>
        <w:pStyle w:val="Nagwek6"/>
        <w:jc w:val="center"/>
        <w:rPr>
          <w:rFonts w:ascii="Times New Roman" w:hAnsi="Times New Roman"/>
          <w:sz w:val="24"/>
          <w:lang w:val="en-US"/>
        </w:rPr>
      </w:pPr>
      <w:r w:rsidRPr="00663221">
        <w:rPr>
          <w:rFonts w:ascii="Times New Roman" w:hAnsi="Times New Roman"/>
          <w:sz w:val="24"/>
          <w:lang w:val="en-US"/>
        </w:rPr>
        <w:t xml:space="preserve">DESCRIPTION OF THE SUBJECT OF THE </w:t>
      </w:r>
      <w:r>
        <w:rPr>
          <w:rFonts w:ascii="Times New Roman" w:hAnsi="Times New Roman"/>
          <w:sz w:val="24"/>
          <w:lang w:val="en-US"/>
        </w:rPr>
        <w:t>AGREEMENT</w:t>
      </w:r>
      <w:r w:rsidRPr="00663221">
        <w:rPr>
          <w:rFonts w:ascii="Times New Roman" w:hAnsi="Times New Roman"/>
          <w:sz w:val="24"/>
          <w:lang w:val="en-US"/>
        </w:rPr>
        <w:t xml:space="preserve"> - REQUIRED PARAMETERS</w:t>
      </w:r>
    </w:p>
    <w:p w14:paraId="508464AB" w14:textId="77777777" w:rsidR="00EF0E06" w:rsidRPr="00136F24" w:rsidRDefault="00EF0E06" w:rsidP="00EF0E06">
      <w:pPr>
        <w:overflowPunct w:val="0"/>
        <w:autoSpaceDE w:val="0"/>
        <w:autoSpaceDN w:val="0"/>
        <w:adjustRightInd w:val="0"/>
        <w:rPr>
          <w:b/>
          <w:bCs/>
          <w:kern w:val="144"/>
        </w:rPr>
      </w:pPr>
    </w:p>
    <w:p w14:paraId="0216CF2A" w14:textId="46D9377E" w:rsidR="00EF0E06" w:rsidRPr="00136F24" w:rsidRDefault="00804D1F" w:rsidP="00CD1EDC">
      <w:pPr>
        <w:overflowPunct w:val="0"/>
        <w:autoSpaceDE w:val="0"/>
        <w:autoSpaceDN w:val="0"/>
        <w:adjustRightInd w:val="0"/>
        <w:spacing w:after="240"/>
        <w:rPr>
          <w:b/>
        </w:rPr>
      </w:pPr>
      <w:r w:rsidRPr="00663221">
        <w:rPr>
          <w:b/>
          <w:bCs/>
          <w:kern w:val="144"/>
          <w:lang w:val="en-US"/>
        </w:rPr>
        <w:t xml:space="preserve">Procedure entitled </w:t>
      </w:r>
      <w:r w:rsidRPr="00663221">
        <w:rPr>
          <w:b/>
          <w:lang w:val="en-US"/>
        </w:rPr>
        <w:t>"</w:t>
      </w:r>
      <w:r>
        <w:rPr>
          <w:b/>
        </w:rPr>
        <w:t>Purchase on exchange</w:t>
      </w:r>
      <w:r w:rsidR="00FE3F1D" w:rsidRPr="00136F24">
        <w:rPr>
          <w:b/>
        </w:rPr>
        <w:t xml:space="preserve"> 2 (</w:t>
      </w:r>
      <w:r>
        <w:rPr>
          <w:b/>
        </w:rPr>
        <w:t>two</w:t>
      </w:r>
      <w:r w:rsidR="00FE3F1D" w:rsidRPr="00136F24">
        <w:rPr>
          <w:b/>
        </w:rPr>
        <w:t xml:space="preserve">) </w:t>
      </w:r>
      <w:r w:rsidRPr="00804D1F">
        <w:rPr>
          <w:b/>
        </w:rPr>
        <w:t>brand new PT6A-66B engines for replacement for the Piaggio P.180 aircraft</w:t>
      </w:r>
      <w:r w:rsidR="00FE3F1D" w:rsidRPr="00136F24">
        <w:rPr>
          <w:b/>
        </w:rPr>
        <w:t>”</w:t>
      </w:r>
      <w:r w:rsidR="00FE3F1D" w:rsidRPr="00136F24">
        <w:t xml:space="preserve"> </w:t>
      </w:r>
      <w:r w:rsidR="00EF0E06" w:rsidRPr="00136F24">
        <w:rPr>
          <w:b/>
        </w:rPr>
        <w:t xml:space="preserve"> (</w:t>
      </w:r>
      <w:r w:rsidRPr="00663221">
        <w:rPr>
          <w:b/>
          <w:lang w:val="en-US"/>
        </w:rPr>
        <w:t xml:space="preserve">procedure no. </w:t>
      </w:r>
      <w:r w:rsidR="00EF0E06" w:rsidRPr="00136F24">
        <w:rPr>
          <w:b/>
        </w:rPr>
        <w:t xml:space="preserve"> </w:t>
      </w:r>
      <w:r w:rsidR="00E62090">
        <w:rPr>
          <w:b/>
        </w:rPr>
        <w:t>ZP/4/VII/2021</w:t>
      </w:r>
      <w:r w:rsidR="00E62090" w:rsidRPr="00136F24">
        <w:rPr>
          <w:b/>
        </w:rPr>
        <w:t>)</w:t>
      </w:r>
    </w:p>
    <w:p w14:paraId="1615B612" w14:textId="6691016B" w:rsidR="00804D1F" w:rsidRPr="00663221" w:rsidRDefault="00804D1F" w:rsidP="001A0B20">
      <w:pPr>
        <w:widowControl w:val="0"/>
        <w:autoSpaceDE w:val="0"/>
        <w:autoSpaceDN w:val="0"/>
        <w:adjustRightInd w:val="0"/>
        <w:jc w:val="both"/>
        <w:rPr>
          <w:shd w:val="clear" w:color="auto" w:fill="FFFFFF"/>
          <w:lang w:val="en-US"/>
        </w:rPr>
      </w:pPr>
      <w:r w:rsidRPr="00663221">
        <w:rPr>
          <w:kern w:val="144"/>
          <w:lang w:val="en-US"/>
        </w:rPr>
        <w:t xml:space="preserve">Column 2 "Required parameters" in Tables 1-4 is a description of the subject of the </w:t>
      </w:r>
      <w:r>
        <w:rPr>
          <w:kern w:val="144"/>
          <w:lang w:val="en-US"/>
        </w:rPr>
        <w:t>Terms of Reference</w:t>
      </w:r>
      <w:r w:rsidR="00C3102A">
        <w:rPr>
          <w:kern w:val="144"/>
          <w:lang w:val="en-US"/>
        </w:rPr>
        <w:t xml:space="preserve"> (ToR)</w:t>
      </w:r>
      <w:r>
        <w:rPr>
          <w:kern w:val="144"/>
          <w:lang w:val="en-US"/>
        </w:rPr>
        <w:t>.</w:t>
      </w:r>
    </w:p>
    <w:p w14:paraId="59F68669" w14:textId="77777777" w:rsidR="00804D1F" w:rsidRPr="00663221" w:rsidRDefault="00804D1F" w:rsidP="001A0B20">
      <w:pPr>
        <w:widowControl w:val="0"/>
        <w:autoSpaceDE w:val="0"/>
        <w:autoSpaceDN w:val="0"/>
        <w:adjustRightInd w:val="0"/>
        <w:jc w:val="both"/>
        <w:rPr>
          <w:shd w:val="clear" w:color="auto" w:fill="FFFFFF"/>
          <w:lang w:val="en-US"/>
        </w:rPr>
      </w:pPr>
      <w:r w:rsidRPr="00663221">
        <w:rPr>
          <w:lang w:val="en-US"/>
        </w:rPr>
        <w:t xml:space="preserve">If the </w:t>
      </w:r>
      <w:r>
        <w:rPr>
          <w:lang w:val="en-US"/>
        </w:rPr>
        <w:t xml:space="preserve">Contractor </w:t>
      </w:r>
      <w:r w:rsidRPr="00663221">
        <w:rPr>
          <w:lang w:val="en-US"/>
        </w:rPr>
        <w:t xml:space="preserve">selects "NO" or fails to mark at least one row in column 3, the </w:t>
      </w:r>
      <w:r>
        <w:rPr>
          <w:lang w:val="en-US"/>
        </w:rPr>
        <w:t>tender</w:t>
      </w:r>
      <w:r w:rsidRPr="00663221">
        <w:rPr>
          <w:lang w:val="en-US"/>
        </w:rPr>
        <w:t xml:space="preserve"> submitted will be rejected </w:t>
      </w:r>
      <w:r>
        <w:rPr>
          <w:lang w:val="en-US"/>
        </w:rPr>
        <w:t>as non-compliant.</w:t>
      </w:r>
    </w:p>
    <w:p w14:paraId="618F5AFC" w14:textId="77777777" w:rsidR="00804D1F" w:rsidRPr="00DD25BA" w:rsidRDefault="00804D1F" w:rsidP="00804D1F">
      <w:pPr>
        <w:pStyle w:val="Tekstpodstawowywcity31"/>
        <w:tabs>
          <w:tab w:val="left" w:pos="644"/>
        </w:tabs>
        <w:spacing w:before="80" w:after="120"/>
        <w:rPr>
          <w:rFonts w:ascii="Times New Roman" w:hAnsi="Times New Roman"/>
          <w:i w:val="0"/>
          <w:iCs/>
          <w:color w:val="000000"/>
          <w:sz w:val="22"/>
          <w:szCs w:val="22"/>
        </w:rPr>
      </w:pPr>
      <w:r w:rsidRPr="00DD25BA">
        <w:rPr>
          <w:rFonts w:ascii="Times New Roman" w:hAnsi="Times New Roman"/>
          <w:b/>
          <w:i w:val="0"/>
          <w:iCs/>
          <w:sz w:val="22"/>
          <w:szCs w:val="22"/>
          <w:u w:val="single"/>
        </w:rPr>
        <w:t xml:space="preserve">Table 1 - </w:t>
      </w:r>
      <w:r>
        <w:rPr>
          <w:rFonts w:ascii="Times New Roman" w:hAnsi="Times New Roman"/>
          <w:i w:val="0"/>
          <w:iCs/>
          <w:color w:val="000000"/>
          <w:sz w:val="22"/>
          <w:szCs w:val="22"/>
        </w:rPr>
        <w:t>General</w:t>
      </w:r>
    </w:p>
    <w:tbl>
      <w:tblPr>
        <w:tblW w:w="147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740"/>
        <w:gridCol w:w="2268"/>
      </w:tblGrid>
      <w:tr w:rsidR="00EF0E06" w:rsidRPr="00136F24" w14:paraId="143B11A4" w14:textId="77777777" w:rsidTr="00EE1F1A">
        <w:trPr>
          <w:trHeight w:val="344"/>
        </w:trPr>
        <w:tc>
          <w:tcPr>
            <w:tcW w:w="709" w:type="dxa"/>
            <w:vAlign w:val="center"/>
          </w:tcPr>
          <w:p w14:paraId="39105CBC" w14:textId="1078A278" w:rsidR="00EF0E06" w:rsidRPr="00136F24" w:rsidRDefault="00804D1F" w:rsidP="00FE04CE">
            <w:pPr>
              <w:autoSpaceDE w:val="0"/>
              <w:autoSpaceDN w:val="0"/>
              <w:adjustRightInd w:val="0"/>
              <w:jc w:val="center"/>
              <w:rPr>
                <w:b/>
                <w:smallCaps/>
              </w:rPr>
            </w:pPr>
            <w:r>
              <w:rPr>
                <w:b/>
                <w:smallCaps/>
                <w:sz w:val="22"/>
                <w:szCs w:val="22"/>
              </w:rPr>
              <w:t>No</w:t>
            </w:r>
          </w:p>
        </w:tc>
        <w:tc>
          <w:tcPr>
            <w:tcW w:w="11740" w:type="dxa"/>
            <w:vAlign w:val="center"/>
          </w:tcPr>
          <w:p w14:paraId="43C274AF" w14:textId="7EFD8312" w:rsidR="00EF0E06" w:rsidRPr="00136F24" w:rsidRDefault="00804D1F" w:rsidP="00FE04CE">
            <w:pPr>
              <w:autoSpaceDE w:val="0"/>
              <w:autoSpaceDN w:val="0"/>
              <w:adjustRightInd w:val="0"/>
              <w:jc w:val="center"/>
              <w:rPr>
                <w:b/>
                <w:bCs/>
                <w:highlight w:val="lightGray"/>
              </w:rPr>
            </w:pPr>
            <w:r w:rsidRPr="005C3E88">
              <w:rPr>
                <w:b/>
                <w:smallCaps/>
                <w:sz w:val="22"/>
                <w:szCs w:val="22"/>
              </w:rPr>
              <w:t>REQUIRED PARAMETERS</w:t>
            </w:r>
          </w:p>
        </w:tc>
        <w:tc>
          <w:tcPr>
            <w:tcW w:w="2268" w:type="dxa"/>
            <w:tcBorders>
              <w:bottom w:val="single" w:sz="4" w:space="0" w:color="auto"/>
            </w:tcBorders>
            <w:vAlign w:val="center"/>
          </w:tcPr>
          <w:p w14:paraId="160335FE" w14:textId="5E9A538E" w:rsidR="00EF0E06" w:rsidRPr="00136F24" w:rsidRDefault="00804D1F" w:rsidP="00FE04CE">
            <w:pPr>
              <w:pStyle w:val="Nagwek5"/>
              <w:autoSpaceDE w:val="0"/>
              <w:autoSpaceDN w:val="0"/>
              <w:adjustRightInd w:val="0"/>
              <w:rPr>
                <w:rFonts w:ascii="Times New Roman" w:hAnsi="Times New Roman"/>
                <w:smallCaps/>
                <w:sz w:val="22"/>
              </w:rPr>
            </w:pPr>
            <w:r w:rsidRPr="00DD25BA">
              <w:rPr>
                <w:rFonts w:ascii="Times New Roman" w:hAnsi="Times New Roman"/>
                <w:smallCaps/>
                <w:sz w:val="22"/>
                <w:szCs w:val="22"/>
              </w:rPr>
              <w:t>YES/NO*</w:t>
            </w:r>
          </w:p>
        </w:tc>
      </w:tr>
      <w:tr w:rsidR="00EF0E06" w:rsidRPr="00136F24" w14:paraId="4F7D22EA" w14:textId="77777777" w:rsidTr="00513BF0">
        <w:tc>
          <w:tcPr>
            <w:tcW w:w="709" w:type="dxa"/>
            <w:tcBorders>
              <w:top w:val="single" w:sz="4" w:space="0" w:color="auto"/>
              <w:left w:val="single" w:sz="4" w:space="0" w:color="auto"/>
              <w:bottom w:val="single" w:sz="4" w:space="0" w:color="auto"/>
              <w:right w:val="single" w:sz="4" w:space="0" w:color="auto"/>
            </w:tcBorders>
            <w:shd w:val="clear" w:color="auto" w:fill="B3B3B3"/>
          </w:tcPr>
          <w:p w14:paraId="3920752E" w14:textId="77777777" w:rsidR="00EF0E06" w:rsidRPr="00136F24" w:rsidRDefault="00EF0E06" w:rsidP="00FE04CE">
            <w:pPr>
              <w:autoSpaceDE w:val="0"/>
              <w:autoSpaceDN w:val="0"/>
              <w:adjustRightInd w:val="0"/>
              <w:jc w:val="center"/>
              <w:rPr>
                <w:b/>
                <w:bCs/>
                <w:iCs/>
                <w:color w:val="000000"/>
                <w:highlight w:val="lightGray"/>
              </w:rPr>
            </w:pPr>
            <w:r w:rsidRPr="00136F24">
              <w:rPr>
                <w:b/>
                <w:bCs/>
                <w:iCs/>
                <w:color w:val="000000"/>
                <w:sz w:val="22"/>
                <w:szCs w:val="22"/>
                <w:highlight w:val="lightGray"/>
              </w:rPr>
              <w:t>1.</w:t>
            </w:r>
          </w:p>
        </w:tc>
        <w:tc>
          <w:tcPr>
            <w:tcW w:w="11740" w:type="dxa"/>
            <w:tcBorders>
              <w:top w:val="single" w:sz="4" w:space="0" w:color="auto"/>
              <w:left w:val="single" w:sz="4" w:space="0" w:color="auto"/>
              <w:bottom w:val="single" w:sz="4" w:space="0" w:color="auto"/>
              <w:right w:val="single" w:sz="4" w:space="0" w:color="auto"/>
            </w:tcBorders>
            <w:shd w:val="clear" w:color="auto" w:fill="B3B3B3"/>
          </w:tcPr>
          <w:p w14:paraId="2D3C2CD2" w14:textId="77777777" w:rsidR="00EF0E06" w:rsidRPr="00136F24" w:rsidRDefault="00EF0E06" w:rsidP="00FE04CE">
            <w:pPr>
              <w:autoSpaceDE w:val="0"/>
              <w:autoSpaceDN w:val="0"/>
              <w:adjustRightInd w:val="0"/>
              <w:jc w:val="center"/>
              <w:rPr>
                <w:b/>
                <w:bCs/>
                <w:iCs/>
                <w:color w:val="000000"/>
                <w:highlight w:val="lightGray"/>
              </w:rPr>
            </w:pPr>
            <w:r w:rsidRPr="00136F24">
              <w:rPr>
                <w:b/>
                <w:bCs/>
                <w:iCs/>
                <w:color w:val="000000"/>
                <w:sz w:val="22"/>
                <w:szCs w:val="22"/>
                <w:highlight w:val="lightGray"/>
              </w:rPr>
              <w:t>2.</w:t>
            </w:r>
          </w:p>
        </w:tc>
        <w:tc>
          <w:tcPr>
            <w:tcW w:w="2268" w:type="dxa"/>
            <w:tcBorders>
              <w:top w:val="single" w:sz="4" w:space="0" w:color="auto"/>
              <w:left w:val="single" w:sz="4" w:space="0" w:color="auto"/>
              <w:bottom w:val="single" w:sz="4" w:space="0" w:color="auto"/>
              <w:right w:val="single" w:sz="4" w:space="0" w:color="auto"/>
            </w:tcBorders>
            <w:shd w:val="clear" w:color="auto" w:fill="B3B3B3"/>
          </w:tcPr>
          <w:p w14:paraId="78903639" w14:textId="77777777" w:rsidR="00EF0E06" w:rsidRPr="00136F24" w:rsidRDefault="00EF0E06" w:rsidP="00FE04CE">
            <w:pPr>
              <w:autoSpaceDE w:val="0"/>
              <w:autoSpaceDN w:val="0"/>
              <w:adjustRightInd w:val="0"/>
              <w:jc w:val="center"/>
              <w:rPr>
                <w:b/>
                <w:bCs/>
                <w:highlight w:val="lightGray"/>
              </w:rPr>
            </w:pPr>
            <w:r w:rsidRPr="00136F24">
              <w:rPr>
                <w:b/>
                <w:bCs/>
                <w:sz w:val="22"/>
                <w:szCs w:val="22"/>
                <w:highlight w:val="lightGray"/>
              </w:rPr>
              <w:t>3.</w:t>
            </w:r>
          </w:p>
        </w:tc>
      </w:tr>
      <w:tr w:rsidR="00804D1F" w:rsidRPr="00136F24" w14:paraId="5F408D8C" w14:textId="77777777" w:rsidTr="0013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38"/>
        </w:trPr>
        <w:tc>
          <w:tcPr>
            <w:tcW w:w="709" w:type="dxa"/>
            <w:tcBorders>
              <w:top w:val="single" w:sz="4" w:space="0" w:color="auto"/>
              <w:left w:val="single" w:sz="4" w:space="0" w:color="auto"/>
              <w:bottom w:val="single" w:sz="4" w:space="0" w:color="auto"/>
              <w:right w:val="single" w:sz="4" w:space="0" w:color="auto"/>
            </w:tcBorders>
          </w:tcPr>
          <w:p w14:paraId="0EB14EBE" w14:textId="77777777" w:rsidR="00804D1F" w:rsidRPr="00762BCD" w:rsidRDefault="00804D1F" w:rsidP="00804D1F">
            <w:pPr>
              <w:jc w:val="center"/>
              <w:rPr>
                <w:rFonts w:eastAsia="Arial Unicode MS"/>
                <w:sz w:val="22"/>
                <w:szCs w:val="22"/>
              </w:rPr>
            </w:pPr>
            <w:r w:rsidRPr="00762BCD">
              <w:rPr>
                <w:sz w:val="22"/>
                <w:szCs w:val="22"/>
              </w:rPr>
              <w:t>1.1</w:t>
            </w:r>
          </w:p>
        </w:tc>
        <w:tc>
          <w:tcPr>
            <w:tcW w:w="11740" w:type="dxa"/>
            <w:tcBorders>
              <w:top w:val="single" w:sz="4" w:space="0" w:color="auto"/>
              <w:left w:val="single" w:sz="4" w:space="0" w:color="auto"/>
              <w:bottom w:val="single" w:sz="4" w:space="0" w:color="auto"/>
              <w:right w:val="single" w:sz="4" w:space="0" w:color="auto"/>
            </w:tcBorders>
          </w:tcPr>
          <w:p w14:paraId="4326796F" w14:textId="08CAA2A2" w:rsidR="00804D1F" w:rsidRPr="00762BCD" w:rsidRDefault="00804D1F" w:rsidP="00804D1F">
            <w:pPr>
              <w:ind w:left="208" w:right="180"/>
              <w:jc w:val="both"/>
              <w:rPr>
                <w:sz w:val="22"/>
                <w:szCs w:val="22"/>
              </w:rPr>
            </w:pPr>
            <w:r w:rsidRPr="00762BCD">
              <w:rPr>
                <w:sz w:val="22"/>
                <w:szCs w:val="22"/>
                <w:lang w:val="en-US"/>
              </w:rPr>
              <w:t>The Contractor shall supply two (2) brand new engines manufactured by Pratt &amp; Whitney Canada including:</w:t>
            </w:r>
          </w:p>
          <w:p w14:paraId="360D69D2" w14:textId="5E04F8E3" w:rsidR="00804D1F" w:rsidRPr="00762BCD" w:rsidRDefault="00804D1F" w:rsidP="00804D1F">
            <w:pPr>
              <w:pStyle w:val="Akapitzlist"/>
              <w:numPr>
                <w:ilvl w:val="0"/>
                <w:numId w:val="2"/>
              </w:numPr>
              <w:ind w:right="180"/>
              <w:jc w:val="both"/>
              <w:rPr>
                <w:sz w:val="22"/>
                <w:szCs w:val="22"/>
              </w:rPr>
            </w:pPr>
            <w:r w:rsidRPr="00762BCD">
              <w:rPr>
                <w:sz w:val="22"/>
                <w:szCs w:val="22"/>
              </w:rPr>
              <w:t xml:space="preserve">one (1) as model PT6A-66B, Built Spec. No. BS1223 (left engine) and </w:t>
            </w:r>
          </w:p>
          <w:p w14:paraId="3BA1769B" w14:textId="433B83F0" w:rsidR="00804D1F" w:rsidRPr="00762BCD" w:rsidRDefault="00804D1F" w:rsidP="00804D1F">
            <w:pPr>
              <w:pStyle w:val="Akapitzlist"/>
              <w:numPr>
                <w:ilvl w:val="0"/>
                <w:numId w:val="2"/>
              </w:numPr>
              <w:ind w:right="180"/>
              <w:jc w:val="both"/>
              <w:rPr>
                <w:rFonts w:eastAsia="Arial Unicode MS"/>
                <w:sz w:val="22"/>
                <w:szCs w:val="22"/>
              </w:rPr>
            </w:pPr>
            <w:r w:rsidRPr="00762BCD">
              <w:rPr>
                <w:sz w:val="22"/>
                <w:szCs w:val="22"/>
              </w:rPr>
              <w:t>one (1) as model PT6A-66B, Built Spec. No. BS1224 (right engine)</w:t>
            </w:r>
          </w:p>
        </w:tc>
        <w:tc>
          <w:tcPr>
            <w:tcW w:w="2268" w:type="dxa"/>
            <w:tcBorders>
              <w:top w:val="single" w:sz="4" w:space="0" w:color="auto"/>
              <w:left w:val="single" w:sz="4" w:space="0" w:color="auto"/>
              <w:bottom w:val="single" w:sz="4" w:space="0" w:color="auto"/>
              <w:right w:val="single" w:sz="4" w:space="0" w:color="auto"/>
            </w:tcBorders>
          </w:tcPr>
          <w:p w14:paraId="3C4FDF91" w14:textId="5D4156DE" w:rsidR="00804D1F" w:rsidRPr="00136F24" w:rsidRDefault="00804D1F" w:rsidP="00804D1F">
            <w:pPr>
              <w:autoSpaceDE w:val="0"/>
              <w:autoSpaceDN w:val="0"/>
              <w:adjustRightInd w:val="0"/>
              <w:jc w:val="center"/>
              <w:rPr>
                <w:b/>
                <w:bCs/>
              </w:rPr>
            </w:pPr>
            <w:r w:rsidRPr="00302255">
              <w:rPr>
                <w:smallCaps/>
                <w:sz w:val="22"/>
                <w:szCs w:val="22"/>
              </w:rPr>
              <w:t>YES/NO</w:t>
            </w:r>
          </w:p>
        </w:tc>
      </w:tr>
      <w:tr w:rsidR="00804D1F" w:rsidRPr="00136F24" w14:paraId="7FD99776" w14:textId="77777777" w:rsidTr="0013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18"/>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A8325D3" w14:textId="77777777" w:rsidR="00804D1F" w:rsidRPr="00762BCD" w:rsidRDefault="00804D1F" w:rsidP="00804D1F">
            <w:pPr>
              <w:jc w:val="center"/>
              <w:rPr>
                <w:sz w:val="22"/>
                <w:szCs w:val="22"/>
              </w:rPr>
            </w:pPr>
            <w:r w:rsidRPr="00762BCD">
              <w:rPr>
                <w:sz w:val="22"/>
                <w:szCs w:val="22"/>
              </w:rPr>
              <w:t>1.2</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244EF40F" w14:textId="7338AC68" w:rsidR="00804D1F" w:rsidRPr="00762BCD" w:rsidRDefault="00B85505" w:rsidP="00804D1F">
            <w:pPr>
              <w:ind w:left="208" w:right="180"/>
              <w:jc w:val="both"/>
              <w:rPr>
                <w:sz w:val="22"/>
                <w:szCs w:val="22"/>
              </w:rPr>
            </w:pPr>
            <w:r w:rsidRPr="00762BCD">
              <w:rPr>
                <w:sz w:val="22"/>
                <w:szCs w:val="22"/>
                <w:lang w:val="en-US"/>
              </w:rPr>
              <w:t>In accounting for the supply of new engines, the Contractor will accept other engines manufactured by Pratt &amp; Whitney Canada including:</w:t>
            </w:r>
          </w:p>
          <w:p w14:paraId="03F5A637" w14:textId="60156773" w:rsidR="00804D1F" w:rsidRPr="00762BCD" w:rsidRDefault="00B85505" w:rsidP="00804D1F">
            <w:pPr>
              <w:pStyle w:val="Akapitzlist"/>
              <w:numPr>
                <w:ilvl w:val="0"/>
                <w:numId w:val="3"/>
              </w:numPr>
              <w:ind w:right="180"/>
              <w:jc w:val="both"/>
              <w:rPr>
                <w:sz w:val="22"/>
                <w:szCs w:val="22"/>
              </w:rPr>
            </w:pPr>
            <w:r w:rsidRPr="00762BCD">
              <w:rPr>
                <w:sz w:val="22"/>
                <w:szCs w:val="22"/>
              </w:rPr>
              <w:t xml:space="preserve">one </w:t>
            </w:r>
            <w:r w:rsidR="00804D1F" w:rsidRPr="00762BCD">
              <w:rPr>
                <w:sz w:val="22"/>
                <w:szCs w:val="22"/>
              </w:rPr>
              <w:t xml:space="preserve">(1) </w:t>
            </w:r>
            <w:r w:rsidRPr="00762BCD">
              <w:rPr>
                <w:sz w:val="22"/>
                <w:szCs w:val="22"/>
              </w:rPr>
              <w:t xml:space="preserve">engine </w:t>
            </w:r>
            <w:r w:rsidR="00804D1F" w:rsidRPr="00762BCD">
              <w:rPr>
                <w:sz w:val="22"/>
                <w:szCs w:val="22"/>
              </w:rPr>
              <w:t>model PT6A-66B, Built Spec. No. BS1223 (</w:t>
            </w:r>
            <w:r w:rsidRPr="00762BCD">
              <w:rPr>
                <w:sz w:val="22"/>
                <w:szCs w:val="22"/>
              </w:rPr>
              <w:t>left engine</w:t>
            </w:r>
            <w:r w:rsidR="00804D1F" w:rsidRPr="00762BCD">
              <w:rPr>
                <w:sz w:val="22"/>
                <w:szCs w:val="22"/>
              </w:rPr>
              <w:t xml:space="preserve">), S/N PCE-RW0213 </w:t>
            </w:r>
            <w:r w:rsidRPr="00762BCD">
              <w:rPr>
                <w:sz w:val="22"/>
                <w:szCs w:val="22"/>
              </w:rPr>
              <w:t xml:space="preserve">and </w:t>
            </w:r>
          </w:p>
          <w:p w14:paraId="01F63964" w14:textId="3C6E0C06" w:rsidR="00804D1F" w:rsidRPr="00762BCD" w:rsidRDefault="00B85505" w:rsidP="00804D1F">
            <w:pPr>
              <w:pStyle w:val="Akapitzlist"/>
              <w:numPr>
                <w:ilvl w:val="0"/>
                <w:numId w:val="3"/>
              </w:numPr>
              <w:ind w:right="180"/>
              <w:jc w:val="both"/>
              <w:rPr>
                <w:sz w:val="22"/>
                <w:szCs w:val="22"/>
              </w:rPr>
            </w:pPr>
            <w:r w:rsidRPr="00762BCD">
              <w:rPr>
                <w:sz w:val="22"/>
                <w:szCs w:val="22"/>
              </w:rPr>
              <w:t xml:space="preserve">one </w:t>
            </w:r>
            <w:r w:rsidR="00804D1F" w:rsidRPr="00762BCD">
              <w:rPr>
                <w:sz w:val="22"/>
                <w:szCs w:val="22"/>
              </w:rPr>
              <w:t xml:space="preserve">(1) </w:t>
            </w:r>
            <w:r w:rsidRPr="00762BCD">
              <w:rPr>
                <w:sz w:val="22"/>
                <w:szCs w:val="22"/>
              </w:rPr>
              <w:t xml:space="preserve">engine </w:t>
            </w:r>
            <w:r w:rsidR="00804D1F" w:rsidRPr="00762BCD">
              <w:rPr>
                <w:sz w:val="22"/>
                <w:szCs w:val="22"/>
              </w:rPr>
              <w:t>model PT6A-66B, Built Spec. No. BS1224 (</w:t>
            </w:r>
            <w:r w:rsidRPr="00762BCD">
              <w:rPr>
                <w:sz w:val="22"/>
                <w:szCs w:val="22"/>
              </w:rPr>
              <w:t>right engine</w:t>
            </w:r>
            <w:r w:rsidR="00804D1F" w:rsidRPr="00762BCD">
              <w:rPr>
                <w:sz w:val="22"/>
                <w:szCs w:val="22"/>
              </w:rPr>
              <w:t xml:space="preserve">), S/N PCE-RW0214 </w:t>
            </w:r>
          </w:p>
          <w:p w14:paraId="5E0467A6" w14:textId="1E9A834B" w:rsidR="00804D1F" w:rsidRPr="00762BCD" w:rsidRDefault="00326133" w:rsidP="00B85505">
            <w:pPr>
              <w:ind w:left="208" w:right="180"/>
              <w:jc w:val="both"/>
              <w:rPr>
                <w:sz w:val="22"/>
                <w:szCs w:val="22"/>
              </w:rPr>
            </w:pPr>
            <w:r>
              <w:rPr>
                <w:sz w:val="22"/>
                <w:szCs w:val="22"/>
                <w:lang w:val="en-US"/>
              </w:rPr>
              <w:t>excluded from operation</w:t>
            </w:r>
            <w:r w:rsidR="00B85505" w:rsidRPr="00762BCD">
              <w:rPr>
                <w:sz w:val="22"/>
                <w:szCs w:val="22"/>
                <w:lang w:val="en-US"/>
              </w:rPr>
              <w:t xml:space="preserve"> by the Awarding Entity in connection with the TBO limits</w:t>
            </w:r>
            <w:r w:rsidR="00804D1F" w:rsidRPr="00762BCD">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093F98" w14:textId="4A58E962" w:rsidR="00804D1F" w:rsidRPr="00136F24" w:rsidRDefault="00804D1F" w:rsidP="00804D1F">
            <w:pPr>
              <w:autoSpaceDE w:val="0"/>
              <w:autoSpaceDN w:val="0"/>
              <w:adjustRightInd w:val="0"/>
              <w:jc w:val="center"/>
              <w:rPr>
                <w:smallCaps/>
              </w:rPr>
            </w:pPr>
            <w:r w:rsidRPr="00302255">
              <w:rPr>
                <w:smallCaps/>
                <w:sz w:val="22"/>
                <w:szCs w:val="22"/>
              </w:rPr>
              <w:t>YES/NO</w:t>
            </w:r>
          </w:p>
        </w:tc>
      </w:tr>
      <w:tr w:rsidR="00804D1F" w:rsidRPr="00136F24" w14:paraId="388BB7A7" w14:textId="77777777" w:rsidTr="00672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AAA3BDD" w14:textId="71FF8B00" w:rsidR="00804D1F" w:rsidRPr="00762BCD" w:rsidRDefault="00804D1F" w:rsidP="00804D1F">
            <w:pPr>
              <w:jc w:val="center"/>
              <w:rPr>
                <w:sz w:val="22"/>
                <w:szCs w:val="22"/>
              </w:rPr>
            </w:pPr>
            <w:r w:rsidRPr="00762BCD">
              <w:rPr>
                <w:sz w:val="22"/>
                <w:szCs w:val="22"/>
              </w:rPr>
              <w:t>1.3</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7FC75D15" w14:textId="328C360C" w:rsidR="00804D1F" w:rsidRPr="00762BCD" w:rsidRDefault="00B85505" w:rsidP="00B85505">
            <w:pPr>
              <w:ind w:left="208" w:right="180"/>
              <w:jc w:val="both"/>
              <w:rPr>
                <w:sz w:val="22"/>
                <w:szCs w:val="22"/>
              </w:rPr>
            </w:pPr>
            <w:r w:rsidRPr="00762BCD">
              <w:rPr>
                <w:sz w:val="22"/>
                <w:szCs w:val="22"/>
                <w:lang w:val="en-US"/>
              </w:rPr>
              <w:t xml:space="preserve">Each engine supplied will be accompanied by a valid and complete technical file in accordance with the standard used in the </w:t>
            </w:r>
            <w:r w:rsidR="00804D1F" w:rsidRPr="00762BCD">
              <w:rPr>
                <w:sz w:val="22"/>
                <w:szCs w:val="22"/>
              </w:rPr>
              <w:t xml:space="preserve">PRATT &amp; WHITNEY CANADA PT6A ENGINE LOGBOOK, </w:t>
            </w:r>
            <w:r w:rsidRPr="00762BCD">
              <w:rPr>
                <w:sz w:val="22"/>
                <w:szCs w:val="22"/>
              </w:rPr>
              <w:t xml:space="preserve">last revision of </w:t>
            </w:r>
            <w:r w:rsidR="00804D1F" w:rsidRPr="00762BCD">
              <w:rPr>
                <w:sz w:val="22"/>
                <w:szCs w:val="22"/>
              </w:rPr>
              <w:t xml:space="preserve">TP14182 </w:t>
            </w:r>
            <w:r w:rsidRPr="00762BCD">
              <w:rPr>
                <w:sz w:val="22"/>
                <w:szCs w:val="22"/>
              </w:rPr>
              <w:t>document</w:t>
            </w:r>
            <w:r w:rsidR="00804D1F" w:rsidRPr="00762BCD">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4AD9A1" w14:textId="03280A81" w:rsidR="00804D1F" w:rsidRPr="00136F24" w:rsidRDefault="00804D1F" w:rsidP="00804D1F">
            <w:pPr>
              <w:autoSpaceDE w:val="0"/>
              <w:autoSpaceDN w:val="0"/>
              <w:adjustRightInd w:val="0"/>
              <w:jc w:val="center"/>
              <w:rPr>
                <w:smallCaps/>
              </w:rPr>
            </w:pPr>
            <w:r w:rsidRPr="00302255">
              <w:rPr>
                <w:smallCaps/>
                <w:sz w:val="22"/>
                <w:szCs w:val="22"/>
              </w:rPr>
              <w:t>YES/NO</w:t>
            </w:r>
          </w:p>
        </w:tc>
      </w:tr>
      <w:tr w:rsidR="00804D1F" w:rsidRPr="00136F24" w14:paraId="50D985AC" w14:textId="77777777" w:rsidTr="00EE1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09"/>
        </w:trPr>
        <w:tc>
          <w:tcPr>
            <w:tcW w:w="709" w:type="dxa"/>
            <w:tcBorders>
              <w:top w:val="single" w:sz="4" w:space="0" w:color="auto"/>
              <w:left w:val="single" w:sz="4" w:space="0" w:color="auto"/>
              <w:bottom w:val="single" w:sz="4" w:space="0" w:color="auto"/>
              <w:right w:val="single" w:sz="4" w:space="0" w:color="auto"/>
            </w:tcBorders>
            <w:noWrap/>
          </w:tcPr>
          <w:p w14:paraId="6311440D" w14:textId="3DF99516" w:rsidR="00804D1F" w:rsidRPr="00762BCD" w:rsidRDefault="00804D1F" w:rsidP="00804D1F">
            <w:pPr>
              <w:jc w:val="center"/>
              <w:rPr>
                <w:rFonts w:eastAsia="Arial Unicode MS"/>
                <w:sz w:val="22"/>
                <w:szCs w:val="22"/>
              </w:rPr>
            </w:pPr>
            <w:r w:rsidRPr="00762BCD">
              <w:rPr>
                <w:sz w:val="22"/>
                <w:szCs w:val="22"/>
              </w:rPr>
              <w:t>1.4</w:t>
            </w:r>
          </w:p>
        </w:tc>
        <w:tc>
          <w:tcPr>
            <w:tcW w:w="11740" w:type="dxa"/>
            <w:tcBorders>
              <w:top w:val="single" w:sz="4" w:space="0" w:color="auto"/>
              <w:left w:val="single" w:sz="4" w:space="0" w:color="auto"/>
              <w:bottom w:val="single" w:sz="4" w:space="0" w:color="auto"/>
              <w:right w:val="single" w:sz="4" w:space="0" w:color="auto"/>
            </w:tcBorders>
          </w:tcPr>
          <w:p w14:paraId="286CA461" w14:textId="0A12F9C3" w:rsidR="00804D1F" w:rsidRPr="00762BCD" w:rsidRDefault="00B85505" w:rsidP="00804D1F">
            <w:pPr>
              <w:ind w:left="208" w:right="180"/>
              <w:jc w:val="both"/>
              <w:rPr>
                <w:rFonts w:eastAsia="Arial Unicode MS"/>
                <w:sz w:val="22"/>
                <w:szCs w:val="22"/>
              </w:rPr>
            </w:pPr>
            <w:r w:rsidRPr="00762BCD">
              <w:rPr>
                <w:rFonts w:eastAsia="Arial Unicode MS"/>
                <w:sz w:val="22"/>
                <w:szCs w:val="22"/>
                <w:lang w:val="en-US"/>
              </w:rPr>
              <w:t>The Contractor declares that he will not use parts with PMA (Parts Manufacturer Approval) in the completion of new engines.</w:t>
            </w:r>
          </w:p>
        </w:tc>
        <w:tc>
          <w:tcPr>
            <w:tcW w:w="2268" w:type="dxa"/>
            <w:tcBorders>
              <w:top w:val="single" w:sz="4" w:space="0" w:color="auto"/>
              <w:left w:val="single" w:sz="4" w:space="0" w:color="auto"/>
              <w:bottom w:val="single" w:sz="4" w:space="0" w:color="auto"/>
              <w:right w:val="single" w:sz="4" w:space="0" w:color="auto"/>
            </w:tcBorders>
          </w:tcPr>
          <w:p w14:paraId="6AEAE82A" w14:textId="3227A3E5" w:rsidR="00804D1F" w:rsidRPr="00136F24" w:rsidRDefault="00804D1F" w:rsidP="00804D1F">
            <w:pPr>
              <w:autoSpaceDE w:val="0"/>
              <w:autoSpaceDN w:val="0"/>
              <w:adjustRightInd w:val="0"/>
              <w:jc w:val="center"/>
              <w:rPr>
                <w:b/>
                <w:bCs/>
              </w:rPr>
            </w:pPr>
            <w:r w:rsidRPr="00302255">
              <w:rPr>
                <w:smallCaps/>
                <w:sz w:val="22"/>
                <w:szCs w:val="22"/>
              </w:rPr>
              <w:t>YES/NO</w:t>
            </w:r>
          </w:p>
        </w:tc>
      </w:tr>
      <w:tr w:rsidR="00804D1F" w:rsidRPr="00136F24" w14:paraId="25BBB058" w14:textId="77777777" w:rsidTr="0013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2"/>
        </w:trPr>
        <w:tc>
          <w:tcPr>
            <w:tcW w:w="709" w:type="dxa"/>
            <w:tcBorders>
              <w:top w:val="single" w:sz="4" w:space="0" w:color="auto"/>
              <w:left w:val="single" w:sz="4" w:space="0" w:color="auto"/>
              <w:bottom w:val="single" w:sz="4" w:space="0" w:color="auto"/>
              <w:right w:val="single" w:sz="4" w:space="0" w:color="auto"/>
            </w:tcBorders>
            <w:noWrap/>
          </w:tcPr>
          <w:p w14:paraId="43E9FF69" w14:textId="2AD951EC" w:rsidR="00804D1F" w:rsidRPr="00762BCD" w:rsidRDefault="00804D1F" w:rsidP="00804D1F">
            <w:pPr>
              <w:jc w:val="center"/>
              <w:rPr>
                <w:sz w:val="22"/>
                <w:szCs w:val="22"/>
              </w:rPr>
            </w:pPr>
            <w:r w:rsidRPr="00762BCD">
              <w:rPr>
                <w:sz w:val="22"/>
                <w:szCs w:val="22"/>
              </w:rPr>
              <w:t>1.5</w:t>
            </w:r>
          </w:p>
        </w:tc>
        <w:tc>
          <w:tcPr>
            <w:tcW w:w="11740" w:type="dxa"/>
            <w:tcBorders>
              <w:top w:val="single" w:sz="4" w:space="0" w:color="auto"/>
              <w:left w:val="single" w:sz="4" w:space="0" w:color="auto"/>
              <w:bottom w:val="single" w:sz="4" w:space="0" w:color="auto"/>
              <w:right w:val="single" w:sz="4" w:space="0" w:color="auto"/>
            </w:tcBorders>
          </w:tcPr>
          <w:p w14:paraId="02F83684" w14:textId="35C76867" w:rsidR="00804D1F" w:rsidRPr="00762BCD" w:rsidRDefault="006F3FCD" w:rsidP="006F3FCD">
            <w:pPr>
              <w:ind w:left="208" w:right="180"/>
              <w:jc w:val="both"/>
              <w:rPr>
                <w:sz w:val="22"/>
                <w:szCs w:val="22"/>
              </w:rPr>
            </w:pPr>
            <w:r w:rsidRPr="00762BCD">
              <w:rPr>
                <w:rFonts w:eastAsia="Arial Unicode MS"/>
                <w:sz w:val="22"/>
                <w:szCs w:val="22"/>
                <w:lang w:val="en-US"/>
              </w:rPr>
              <w:t xml:space="preserve">New engines transported to the Awarding Entity's base must be packed in new shipping crates in accordance with the requirements of the technical documentation of the </w:t>
            </w:r>
            <w:r w:rsidRPr="00762BCD">
              <w:rPr>
                <w:sz w:val="22"/>
                <w:szCs w:val="22"/>
              </w:rPr>
              <w:t>PT6A-66B</w:t>
            </w:r>
            <w:r w:rsidRPr="00762BCD">
              <w:rPr>
                <w:rFonts w:eastAsia="Arial Unicode MS"/>
                <w:sz w:val="22"/>
                <w:szCs w:val="22"/>
                <w:lang w:val="en-US"/>
              </w:rPr>
              <w:t xml:space="preserve"> engine manufacturer.</w:t>
            </w:r>
          </w:p>
        </w:tc>
        <w:tc>
          <w:tcPr>
            <w:tcW w:w="2268" w:type="dxa"/>
            <w:tcBorders>
              <w:top w:val="single" w:sz="4" w:space="0" w:color="auto"/>
              <w:left w:val="single" w:sz="4" w:space="0" w:color="auto"/>
              <w:bottom w:val="single" w:sz="4" w:space="0" w:color="auto"/>
              <w:right w:val="single" w:sz="4" w:space="0" w:color="auto"/>
            </w:tcBorders>
          </w:tcPr>
          <w:p w14:paraId="0750117E" w14:textId="3DFD0A97" w:rsidR="00804D1F" w:rsidRPr="00136F24" w:rsidRDefault="00804D1F" w:rsidP="00804D1F">
            <w:pPr>
              <w:autoSpaceDE w:val="0"/>
              <w:autoSpaceDN w:val="0"/>
              <w:adjustRightInd w:val="0"/>
              <w:jc w:val="center"/>
              <w:rPr>
                <w:smallCaps/>
              </w:rPr>
            </w:pPr>
            <w:r w:rsidRPr="00302255">
              <w:rPr>
                <w:smallCaps/>
                <w:sz w:val="22"/>
                <w:szCs w:val="22"/>
              </w:rPr>
              <w:t>YES/NO</w:t>
            </w:r>
          </w:p>
        </w:tc>
      </w:tr>
      <w:tr w:rsidR="00804D1F" w:rsidRPr="00136F24" w14:paraId="63800541" w14:textId="77777777" w:rsidTr="00EE1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1"/>
        </w:trPr>
        <w:tc>
          <w:tcPr>
            <w:tcW w:w="709" w:type="dxa"/>
            <w:tcBorders>
              <w:top w:val="single" w:sz="4" w:space="0" w:color="auto"/>
              <w:left w:val="single" w:sz="4" w:space="0" w:color="auto"/>
              <w:bottom w:val="single" w:sz="4" w:space="0" w:color="auto"/>
              <w:right w:val="single" w:sz="4" w:space="0" w:color="auto"/>
            </w:tcBorders>
            <w:noWrap/>
          </w:tcPr>
          <w:p w14:paraId="2C68F8D3" w14:textId="2658A2EF" w:rsidR="00804D1F" w:rsidRPr="00762BCD" w:rsidRDefault="00804D1F" w:rsidP="00804D1F">
            <w:pPr>
              <w:jc w:val="center"/>
              <w:rPr>
                <w:sz w:val="22"/>
                <w:szCs w:val="22"/>
              </w:rPr>
            </w:pPr>
            <w:r w:rsidRPr="00762BCD">
              <w:rPr>
                <w:sz w:val="22"/>
                <w:szCs w:val="22"/>
              </w:rPr>
              <w:t>1.6</w:t>
            </w:r>
          </w:p>
        </w:tc>
        <w:tc>
          <w:tcPr>
            <w:tcW w:w="11740" w:type="dxa"/>
            <w:tcBorders>
              <w:top w:val="single" w:sz="4" w:space="0" w:color="auto"/>
              <w:left w:val="single" w:sz="4" w:space="0" w:color="auto"/>
              <w:bottom w:val="single" w:sz="4" w:space="0" w:color="auto"/>
              <w:right w:val="single" w:sz="4" w:space="0" w:color="auto"/>
            </w:tcBorders>
          </w:tcPr>
          <w:p w14:paraId="521E9194" w14:textId="011CB246" w:rsidR="00804D1F" w:rsidRPr="00762BCD" w:rsidRDefault="005A5354" w:rsidP="00675D28">
            <w:pPr>
              <w:ind w:left="208" w:right="180"/>
              <w:jc w:val="both"/>
              <w:rPr>
                <w:sz w:val="22"/>
                <w:szCs w:val="22"/>
              </w:rPr>
            </w:pPr>
            <w:r w:rsidRPr="00762BCD">
              <w:rPr>
                <w:rStyle w:val="acopre"/>
                <w:sz w:val="22"/>
                <w:szCs w:val="22"/>
                <w:lang w:val="en-US"/>
              </w:rPr>
              <w:t xml:space="preserve">The shipping crates </w:t>
            </w:r>
            <w:r w:rsidRPr="00762BCD">
              <w:rPr>
                <w:sz w:val="22"/>
                <w:szCs w:val="22"/>
                <w:lang w:val="en-US"/>
              </w:rPr>
              <w:t xml:space="preserve">in which new engines will be delivered to the Awarding Entity's base will become the property of the Awarding Entity, </w:t>
            </w:r>
            <w:r w:rsidR="00675D28" w:rsidRPr="00675D28">
              <w:rPr>
                <w:sz w:val="22"/>
                <w:szCs w:val="22"/>
                <w:lang w:val="en-US"/>
              </w:rPr>
              <w:t xml:space="preserve">and used </w:t>
            </w:r>
            <w:r w:rsidR="00675D28">
              <w:rPr>
                <w:sz w:val="22"/>
                <w:szCs w:val="22"/>
                <w:lang w:val="en-US"/>
              </w:rPr>
              <w:t>shipping crates</w:t>
            </w:r>
            <w:r w:rsidR="00675D28" w:rsidRPr="00675D28">
              <w:rPr>
                <w:sz w:val="22"/>
                <w:szCs w:val="22"/>
                <w:lang w:val="en-US"/>
              </w:rPr>
              <w:t xml:space="preserve"> in which replacement </w:t>
            </w:r>
            <w:r w:rsidR="00675D28">
              <w:rPr>
                <w:sz w:val="22"/>
                <w:szCs w:val="22"/>
                <w:lang w:val="en-US"/>
              </w:rPr>
              <w:t>engines</w:t>
            </w:r>
            <w:r w:rsidR="00675D28" w:rsidRPr="00675D28">
              <w:rPr>
                <w:sz w:val="22"/>
                <w:szCs w:val="22"/>
                <w:lang w:val="en-US"/>
              </w:rPr>
              <w:t xml:space="preserve"> will be returned to the Contractor will become the property of the Contractor.</w:t>
            </w:r>
          </w:p>
        </w:tc>
        <w:tc>
          <w:tcPr>
            <w:tcW w:w="2268" w:type="dxa"/>
            <w:tcBorders>
              <w:top w:val="single" w:sz="4" w:space="0" w:color="auto"/>
              <w:left w:val="single" w:sz="4" w:space="0" w:color="auto"/>
              <w:bottom w:val="single" w:sz="4" w:space="0" w:color="auto"/>
              <w:right w:val="single" w:sz="4" w:space="0" w:color="auto"/>
            </w:tcBorders>
          </w:tcPr>
          <w:p w14:paraId="79C3B191" w14:textId="2F8C0E29" w:rsidR="00804D1F" w:rsidRPr="00136F24" w:rsidRDefault="00804D1F" w:rsidP="00804D1F">
            <w:pPr>
              <w:autoSpaceDE w:val="0"/>
              <w:autoSpaceDN w:val="0"/>
              <w:adjustRightInd w:val="0"/>
              <w:jc w:val="center"/>
              <w:rPr>
                <w:smallCaps/>
              </w:rPr>
            </w:pPr>
            <w:r w:rsidRPr="00302255">
              <w:rPr>
                <w:smallCaps/>
                <w:sz w:val="22"/>
                <w:szCs w:val="22"/>
              </w:rPr>
              <w:t>YES/NO</w:t>
            </w:r>
          </w:p>
        </w:tc>
      </w:tr>
      <w:tr w:rsidR="00804D1F" w:rsidRPr="00136F24" w14:paraId="7BA8D279" w14:textId="77777777" w:rsidTr="00EE1F1A">
        <w:tblPrEx>
          <w:tblCellMar>
            <w:left w:w="0" w:type="dxa"/>
            <w:right w:w="0" w:type="dxa"/>
          </w:tblCellMar>
          <w:tblLook w:val="0000" w:firstRow="0" w:lastRow="0" w:firstColumn="0" w:lastColumn="0" w:noHBand="0" w:noVBand="0"/>
        </w:tblPrEx>
        <w:trPr>
          <w:trHeight w:val="432"/>
        </w:trPr>
        <w:tc>
          <w:tcPr>
            <w:tcW w:w="709" w:type="dxa"/>
            <w:tcBorders>
              <w:top w:val="single" w:sz="4" w:space="0" w:color="auto"/>
              <w:left w:val="single" w:sz="4" w:space="0" w:color="auto"/>
              <w:bottom w:val="single" w:sz="4" w:space="0" w:color="auto"/>
              <w:right w:val="single" w:sz="4" w:space="0" w:color="auto"/>
            </w:tcBorders>
            <w:noWrap/>
          </w:tcPr>
          <w:p w14:paraId="415678F0" w14:textId="0C18640E" w:rsidR="00804D1F" w:rsidRPr="00762BCD" w:rsidRDefault="00804D1F" w:rsidP="00804D1F">
            <w:pPr>
              <w:jc w:val="center"/>
              <w:rPr>
                <w:sz w:val="22"/>
                <w:szCs w:val="22"/>
              </w:rPr>
            </w:pPr>
            <w:r w:rsidRPr="00762BCD">
              <w:rPr>
                <w:sz w:val="22"/>
                <w:szCs w:val="22"/>
              </w:rPr>
              <w:t>1.7</w:t>
            </w:r>
          </w:p>
        </w:tc>
        <w:tc>
          <w:tcPr>
            <w:tcW w:w="11740" w:type="dxa"/>
            <w:tcBorders>
              <w:top w:val="single" w:sz="4" w:space="0" w:color="auto"/>
              <w:left w:val="single" w:sz="4" w:space="0" w:color="auto"/>
              <w:bottom w:val="single" w:sz="4" w:space="0" w:color="auto"/>
              <w:right w:val="single" w:sz="4" w:space="0" w:color="auto"/>
            </w:tcBorders>
          </w:tcPr>
          <w:p w14:paraId="2D6A5F5D" w14:textId="472A1440" w:rsidR="00804D1F" w:rsidRPr="00762BCD" w:rsidRDefault="00EE1F1A" w:rsidP="00804D1F">
            <w:pPr>
              <w:ind w:left="208" w:right="180"/>
              <w:jc w:val="both"/>
              <w:rPr>
                <w:sz w:val="22"/>
                <w:szCs w:val="22"/>
              </w:rPr>
            </w:pPr>
            <w:r w:rsidRPr="00762BCD">
              <w:rPr>
                <w:sz w:val="22"/>
                <w:szCs w:val="22"/>
                <w:lang w:val="en-US"/>
              </w:rPr>
              <w:t>The settlement of the value of the transport boxes will be included in the bid price.</w:t>
            </w:r>
          </w:p>
        </w:tc>
        <w:tc>
          <w:tcPr>
            <w:tcW w:w="2268" w:type="dxa"/>
            <w:tcBorders>
              <w:top w:val="single" w:sz="4" w:space="0" w:color="auto"/>
              <w:left w:val="single" w:sz="4" w:space="0" w:color="auto"/>
              <w:bottom w:val="single" w:sz="4" w:space="0" w:color="auto"/>
              <w:right w:val="single" w:sz="4" w:space="0" w:color="auto"/>
            </w:tcBorders>
          </w:tcPr>
          <w:p w14:paraId="64D933E5" w14:textId="2B08036D" w:rsidR="00804D1F" w:rsidRPr="00136F24" w:rsidRDefault="00804D1F" w:rsidP="00804D1F">
            <w:pPr>
              <w:autoSpaceDE w:val="0"/>
              <w:autoSpaceDN w:val="0"/>
              <w:adjustRightInd w:val="0"/>
              <w:jc w:val="center"/>
              <w:rPr>
                <w:smallCaps/>
              </w:rPr>
            </w:pPr>
            <w:r w:rsidRPr="00302255">
              <w:rPr>
                <w:smallCaps/>
                <w:sz w:val="22"/>
                <w:szCs w:val="22"/>
              </w:rPr>
              <w:t>YES/NO</w:t>
            </w:r>
          </w:p>
        </w:tc>
      </w:tr>
      <w:tr w:rsidR="00EE3589" w:rsidRPr="00136F24" w14:paraId="1E01900C" w14:textId="77777777" w:rsidTr="00EE1F1A">
        <w:tblPrEx>
          <w:tblCellMar>
            <w:left w:w="0" w:type="dxa"/>
            <w:right w:w="0" w:type="dxa"/>
          </w:tblCellMar>
          <w:tblLook w:val="0000" w:firstRow="0" w:lastRow="0" w:firstColumn="0" w:lastColumn="0" w:noHBand="0" w:noVBand="0"/>
        </w:tblPrEx>
        <w:trPr>
          <w:trHeight w:val="440"/>
        </w:trPr>
        <w:tc>
          <w:tcPr>
            <w:tcW w:w="709" w:type="dxa"/>
            <w:tcBorders>
              <w:top w:val="single" w:sz="4" w:space="0" w:color="auto"/>
              <w:left w:val="single" w:sz="4" w:space="0" w:color="auto"/>
              <w:bottom w:val="single" w:sz="4" w:space="0" w:color="auto"/>
              <w:right w:val="single" w:sz="4" w:space="0" w:color="auto"/>
            </w:tcBorders>
            <w:noWrap/>
          </w:tcPr>
          <w:p w14:paraId="169F5695" w14:textId="1EC3134D" w:rsidR="00EE3589" w:rsidRPr="00762BCD" w:rsidRDefault="00B70E51" w:rsidP="00136F24">
            <w:pPr>
              <w:jc w:val="center"/>
              <w:rPr>
                <w:sz w:val="22"/>
                <w:szCs w:val="22"/>
              </w:rPr>
            </w:pPr>
            <w:r w:rsidRPr="00762BCD">
              <w:rPr>
                <w:sz w:val="22"/>
                <w:szCs w:val="22"/>
              </w:rPr>
              <w:t>1.</w:t>
            </w:r>
            <w:r w:rsidR="00151B49" w:rsidRPr="00762BCD">
              <w:rPr>
                <w:sz w:val="22"/>
                <w:szCs w:val="22"/>
              </w:rPr>
              <w:t>8</w:t>
            </w:r>
          </w:p>
        </w:tc>
        <w:tc>
          <w:tcPr>
            <w:tcW w:w="11740" w:type="dxa"/>
            <w:tcBorders>
              <w:top w:val="single" w:sz="4" w:space="0" w:color="auto"/>
              <w:left w:val="single" w:sz="4" w:space="0" w:color="auto"/>
              <w:bottom w:val="single" w:sz="4" w:space="0" w:color="auto"/>
              <w:right w:val="single" w:sz="4" w:space="0" w:color="auto"/>
            </w:tcBorders>
          </w:tcPr>
          <w:p w14:paraId="79C957E2" w14:textId="06EF412A" w:rsidR="00EE3589" w:rsidRPr="00762BCD" w:rsidRDefault="00EE1F1A" w:rsidP="001652D4">
            <w:pPr>
              <w:ind w:left="208" w:right="180"/>
              <w:jc w:val="both"/>
              <w:rPr>
                <w:sz w:val="22"/>
                <w:szCs w:val="22"/>
              </w:rPr>
            </w:pPr>
            <w:r w:rsidRPr="00762BCD">
              <w:rPr>
                <w:sz w:val="22"/>
                <w:szCs w:val="22"/>
                <w:lang w:val="en-US"/>
              </w:rPr>
              <w:t>After signing the Agreement, the Awarding Entity will make an advance payment.</w:t>
            </w:r>
          </w:p>
        </w:tc>
        <w:tc>
          <w:tcPr>
            <w:tcW w:w="22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C3D7D6D" w14:textId="614D8502" w:rsidR="00EE3589" w:rsidRPr="00136F24" w:rsidRDefault="00EE3589" w:rsidP="00FE04CE">
            <w:pPr>
              <w:autoSpaceDE w:val="0"/>
              <w:autoSpaceDN w:val="0"/>
              <w:adjustRightInd w:val="0"/>
              <w:jc w:val="center"/>
              <w:rPr>
                <w:smallCaps/>
              </w:rPr>
            </w:pPr>
          </w:p>
        </w:tc>
      </w:tr>
    </w:tbl>
    <w:p w14:paraId="129DA6CB" w14:textId="17424B72" w:rsidR="005171EC" w:rsidRPr="00136F24" w:rsidRDefault="00804D1F" w:rsidP="005171EC">
      <w:pPr>
        <w:pStyle w:val="Tekstpodstawowywcity31"/>
        <w:tabs>
          <w:tab w:val="left" w:pos="644"/>
        </w:tabs>
        <w:spacing w:before="80" w:after="120"/>
        <w:ind w:left="0" w:right="-142"/>
        <w:rPr>
          <w:rFonts w:ascii="Times New Roman" w:hAnsi="Times New Roman"/>
          <w:i w:val="0"/>
          <w:iCs/>
          <w:color w:val="000000"/>
          <w:sz w:val="22"/>
          <w:szCs w:val="22"/>
        </w:rPr>
      </w:pPr>
      <w:r>
        <w:rPr>
          <w:rFonts w:ascii="Times New Roman" w:hAnsi="Times New Roman"/>
          <w:b/>
          <w:i w:val="0"/>
          <w:iCs/>
          <w:sz w:val="22"/>
          <w:szCs w:val="22"/>
          <w:u w:val="single"/>
        </w:rPr>
        <w:lastRenderedPageBreak/>
        <w:t xml:space="preserve">Table 2 - </w:t>
      </w:r>
      <w:r>
        <w:rPr>
          <w:rFonts w:ascii="Times New Roman" w:hAnsi="Times New Roman"/>
          <w:i w:val="0"/>
          <w:iCs/>
          <w:color w:val="000000"/>
          <w:sz w:val="22"/>
          <w:szCs w:val="22"/>
        </w:rPr>
        <w:t>Supplies</w:t>
      </w:r>
      <w:r w:rsidR="005171EC" w:rsidRPr="00136F24">
        <w:rPr>
          <w:rFonts w:ascii="Times New Roman" w:hAnsi="Times New Roman"/>
          <w:i w:val="0"/>
          <w:iCs/>
          <w:color w:val="000000"/>
          <w:sz w:val="22"/>
          <w:szCs w:val="22"/>
        </w:rPr>
        <w:t xml:space="preserve"> </w:t>
      </w:r>
    </w:p>
    <w:tbl>
      <w:tblPr>
        <w:tblW w:w="147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740"/>
        <w:gridCol w:w="2268"/>
      </w:tblGrid>
      <w:tr w:rsidR="00804D1F" w:rsidRPr="00C3102A" w14:paraId="0ADC7864" w14:textId="77777777" w:rsidTr="00513BF0">
        <w:tc>
          <w:tcPr>
            <w:tcW w:w="709" w:type="dxa"/>
          </w:tcPr>
          <w:p w14:paraId="45147A09" w14:textId="3936D2AA" w:rsidR="00804D1F" w:rsidRPr="00C3102A" w:rsidRDefault="00804D1F" w:rsidP="00804D1F">
            <w:pPr>
              <w:autoSpaceDE w:val="0"/>
              <w:autoSpaceDN w:val="0"/>
              <w:adjustRightInd w:val="0"/>
              <w:jc w:val="center"/>
              <w:rPr>
                <w:b/>
                <w:smallCaps/>
                <w:sz w:val="22"/>
                <w:szCs w:val="22"/>
              </w:rPr>
            </w:pPr>
            <w:r w:rsidRPr="00C3102A">
              <w:rPr>
                <w:b/>
                <w:smallCaps/>
                <w:sz w:val="22"/>
                <w:szCs w:val="22"/>
              </w:rPr>
              <w:t>No</w:t>
            </w:r>
          </w:p>
        </w:tc>
        <w:tc>
          <w:tcPr>
            <w:tcW w:w="11740" w:type="dxa"/>
          </w:tcPr>
          <w:p w14:paraId="3D9A7F44" w14:textId="073C94D6" w:rsidR="00804D1F" w:rsidRPr="00C3102A" w:rsidRDefault="00804D1F" w:rsidP="00804D1F">
            <w:pPr>
              <w:autoSpaceDE w:val="0"/>
              <w:autoSpaceDN w:val="0"/>
              <w:adjustRightInd w:val="0"/>
              <w:jc w:val="center"/>
              <w:rPr>
                <w:b/>
                <w:bCs/>
                <w:sz w:val="22"/>
                <w:szCs w:val="22"/>
                <w:highlight w:val="lightGray"/>
              </w:rPr>
            </w:pPr>
            <w:r w:rsidRPr="00C3102A">
              <w:rPr>
                <w:b/>
                <w:smallCaps/>
                <w:sz w:val="22"/>
                <w:szCs w:val="22"/>
              </w:rPr>
              <w:t>REQUIRED PARAMETERS</w:t>
            </w:r>
          </w:p>
        </w:tc>
        <w:tc>
          <w:tcPr>
            <w:tcW w:w="2268" w:type="dxa"/>
            <w:tcBorders>
              <w:bottom w:val="single" w:sz="4" w:space="0" w:color="auto"/>
            </w:tcBorders>
          </w:tcPr>
          <w:p w14:paraId="6B111EEE" w14:textId="3A267763" w:rsidR="00804D1F" w:rsidRPr="00C3102A" w:rsidRDefault="00804D1F" w:rsidP="00804D1F">
            <w:pPr>
              <w:pStyle w:val="Nagwek5"/>
              <w:autoSpaceDE w:val="0"/>
              <w:autoSpaceDN w:val="0"/>
              <w:adjustRightInd w:val="0"/>
              <w:rPr>
                <w:rFonts w:ascii="Times New Roman" w:hAnsi="Times New Roman"/>
                <w:smallCaps/>
                <w:sz w:val="22"/>
                <w:szCs w:val="22"/>
              </w:rPr>
            </w:pPr>
            <w:r w:rsidRPr="00C3102A">
              <w:rPr>
                <w:rFonts w:ascii="Times New Roman" w:hAnsi="Times New Roman"/>
                <w:smallCaps/>
                <w:sz w:val="22"/>
                <w:szCs w:val="22"/>
              </w:rPr>
              <w:t>YES/NO*</w:t>
            </w:r>
          </w:p>
        </w:tc>
      </w:tr>
      <w:tr w:rsidR="005171EC" w:rsidRPr="00C3102A" w14:paraId="36968C23" w14:textId="77777777" w:rsidTr="00513BF0">
        <w:tc>
          <w:tcPr>
            <w:tcW w:w="709" w:type="dxa"/>
            <w:tcBorders>
              <w:top w:val="single" w:sz="4" w:space="0" w:color="auto"/>
              <w:left w:val="single" w:sz="4" w:space="0" w:color="auto"/>
              <w:bottom w:val="single" w:sz="4" w:space="0" w:color="auto"/>
              <w:right w:val="single" w:sz="4" w:space="0" w:color="auto"/>
            </w:tcBorders>
            <w:shd w:val="clear" w:color="auto" w:fill="B3B3B3"/>
          </w:tcPr>
          <w:p w14:paraId="47034568" w14:textId="77777777" w:rsidR="005171EC" w:rsidRPr="00C3102A" w:rsidRDefault="005171EC" w:rsidP="00FE04CE">
            <w:pPr>
              <w:autoSpaceDE w:val="0"/>
              <w:autoSpaceDN w:val="0"/>
              <w:adjustRightInd w:val="0"/>
              <w:jc w:val="center"/>
              <w:rPr>
                <w:b/>
                <w:bCs/>
                <w:iCs/>
                <w:color w:val="000000"/>
                <w:sz w:val="22"/>
                <w:szCs w:val="22"/>
                <w:highlight w:val="lightGray"/>
              </w:rPr>
            </w:pPr>
            <w:r w:rsidRPr="00C3102A">
              <w:rPr>
                <w:b/>
                <w:bCs/>
                <w:iCs/>
                <w:color w:val="000000"/>
                <w:sz w:val="22"/>
                <w:szCs w:val="22"/>
                <w:highlight w:val="lightGray"/>
              </w:rPr>
              <w:t>1.</w:t>
            </w:r>
          </w:p>
        </w:tc>
        <w:tc>
          <w:tcPr>
            <w:tcW w:w="11740" w:type="dxa"/>
            <w:tcBorders>
              <w:top w:val="single" w:sz="4" w:space="0" w:color="auto"/>
              <w:left w:val="single" w:sz="4" w:space="0" w:color="auto"/>
              <w:bottom w:val="single" w:sz="4" w:space="0" w:color="auto"/>
              <w:right w:val="single" w:sz="4" w:space="0" w:color="auto"/>
            </w:tcBorders>
            <w:shd w:val="clear" w:color="auto" w:fill="B3B3B3"/>
          </w:tcPr>
          <w:p w14:paraId="638A7FA5" w14:textId="77777777" w:rsidR="005171EC" w:rsidRPr="00C3102A" w:rsidRDefault="005171EC" w:rsidP="00FE04CE">
            <w:pPr>
              <w:autoSpaceDE w:val="0"/>
              <w:autoSpaceDN w:val="0"/>
              <w:adjustRightInd w:val="0"/>
              <w:jc w:val="center"/>
              <w:rPr>
                <w:b/>
                <w:bCs/>
                <w:iCs/>
                <w:color w:val="000000"/>
                <w:sz w:val="22"/>
                <w:szCs w:val="22"/>
                <w:highlight w:val="lightGray"/>
              </w:rPr>
            </w:pPr>
            <w:r w:rsidRPr="00C3102A">
              <w:rPr>
                <w:b/>
                <w:bCs/>
                <w:iCs/>
                <w:color w:val="000000"/>
                <w:sz w:val="22"/>
                <w:szCs w:val="22"/>
                <w:highlight w:val="lightGray"/>
              </w:rPr>
              <w:t>2.</w:t>
            </w:r>
          </w:p>
        </w:tc>
        <w:tc>
          <w:tcPr>
            <w:tcW w:w="2268" w:type="dxa"/>
            <w:tcBorders>
              <w:top w:val="single" w:sz="4" w:space="0" w:color="auto"/>
              <w:left w:val="single" w:sz="4" w:space="0" w:color="auto"/>
              <w:bottom w:val="single" w:sz="4" w:space="0" w:color="auto"/>
              <w:right w:val="single" w:sz="4" w:space="0" w:color="auto"/>
            </w:tcBorders>
            <w:shd w:val="clear" w:color="auto" w:fill="B3B3B3"/>
          </w:tcPr>
          <w:p w14:paraId="534FC71D" w14:textId="77777777" w:rsidR="005171EC" w:rsidRPr="00C3102A" w:rsidRDefault="005171EC" w:rsidP="00FE04CE">
            <w:pPr>
              <w:autoSpaceDE w:val="0"/>
              <w:autoSpaceDN w:val="0"/>
              <w:adjustRightInd w:val="0"/>
              <w:jc w:val="center"/>
              <w:rPr>
                <w:b/>
                <w:bCs/>
                <w:sz w:val="22"/>
                <w:szCs w:val="22"/>
                <w:highlight w:val="lightGray"/>
              </w:rPr>
            </w:pPr>
            <w:r w:rsidRPr="00C3102A">
              <w:rPr>
                <w:b/>
                <w:bCs/>
                <w:sz w:val="22"/>
                <w:szCs w:val="22"/>
                <w:highlight w:val="lightGray"/>
              </w:rPr>
              <w:t>3.</w:t>
            </w:r>
          </w:p>
        </w:tc>
      </w:tr>
      <w:tr w:rsidR="00804D1F" w:rsidRPr="00C3102A" w14:paraId="336805C4" w14:textId="77777777" w:rsidTr="00C31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26"/>
        </w:trPr>
        <w:tc>
          <w:tcPr>
            <w:tcW w:w="709" w:type="dxa"/>
            <w:tcBorders>
              <w:top w:val="single" w:sz="4" w:space="0" w:color="auto"/>
              <w:left w:val="single" w:sz="4" w:space="0" w:color="auto"/>
              <w:bottom w:val="single" w:sz="4" w:space="0" w:color="auto"/>
              <w:right w:val="single" w:sz="4" w:space="0" w:color="auto"/>
            </w:tcBorders>
          </w:tcPr>
          <w:p w14:paraId="488AE412" w14:textId="77777777" w:rsidR="00804D1F" w:rsidRPr="00C3102A" w:rsidRDefault="00804D1F" w:rsidP="00804D1F">
            <w:pPr>
              <w:jc w:val="center"/>
              <w:rPr>
                <w:rFonts w:eastAsia="Arial Unicode MS"/>
                <w:sz w:val="22"/>
                <w:szCs w:val="22"/>
              </w:rPr>
            </w:pPr>
            <w:r w:rsidRPr="00C3102A">
              <w:rPr>
                <w:sz w:val="22"/>
                <w:szCs w:val="22"/>
              </w:rPr>
              <w:t>2.1</w:t>
            </w:r>
          </w:p>
        </w:tc>
        <w:tc>
          <w:tcPr>
            <w:tcW w:w="11740" w:type="dxa"/>
            <w:tcBorders>
              <w:top w:val="single" w:sz="4" w:space="0" w:color="auto"/>
              <w:left w:val="single" w:sz="4" w:space="0" w:color="auto"/>
              <w:bottom w:val="single" w:sz="4" w:space="0" w:color="auto"/>
              <w:right w:val="single" w:sz="4" w:space="0" w:color="auto"/>
            </w:tcBorders>
          </w:tcPr>
          <w:p w14:paraId="135C59B6" w14:textId="3BEC45D1" w:rsidR="00804D1F" w:rsidRPr="00C3102A" w:rsidRDefault="00C3102A" w:rsidP="00D2394B">
            <w:pPr>
              <w:ind w:left="208" w:right="180"/>
              <w:jc w:val="both"/>
              <w:rPr>
                <w:rFonts w:eastAsia="Arial Unicode MS"/>
                <w:sz w:val="22"/>
                <w:szCs w:val="22"/>
              </w:rPr>
            </w:pPr>
            <w:r w:rsidRPr="00C3102A">
              <w:rPr>
                <w:sz w:val="22"/>
                <w:szCs w:val="22"/>
              </w:rPr>
              <w:t xml:space="preserve">The delivery schedule constitutes Appendix No. </w:t>
            </w:r>
            <w:r w:rsidR="00D2394B">
              <w:rPr>
                <w:sz w:val="22"/>
                <w:szCs w:val="22"/>
              </w:rPr>
              <w:t>2</w:t>
            </w:r>
            <w:r w:rsidR="00D2394B" w:rsidRPr="00C3102A">
              <w:rPr>
                <w:sz w:val="22"/>
                <w:szCs w:val="22"/>
              </w:rPr>
              <w:t xml:space="preserve"> </w:t>
            </w:r>
            <w:r w:rsidRPr="00C3102A">
              <w:rPr>
                <w:sz w:val="22"/>
                <w:szCs w:val="22"/>
              </w:rPr>
              <w:t xml:space="preserve">to the Draft Agreement Provisions constituting Appendix No. 1 to the </w:t>
            </w:r>
            <w:r>
              <w:rPr>
                <w:sz w:val="22"/>
                <w:szCs w:val="22"/>
              </w:rPr>
              <w:t>ToR</w:t>
            </w:r>
            <w:r w:rsidRPr="00C3102A">
              <w:rPr>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58EA666B" w14:textId="70BED9CB" w:rsidR="00804D1F" w:rsidRPr="00C3102A" w:rsidRDefault="00804D1F" w:rsidP="00804D1F">
            <w:pPr>
              <w:autoSpaceDE w:val="0"/>
              <w:autoSpaceDN w:val="0"/>
              <w:adjustRightInd w:val="0"/>
              <w:jc w:val="center"/>
              <w:rPr>
                <w:b/>
                <w:bCs/>
                <w:sz w:val="22"/>
                <w:szCs w:val="22"/>
              </w:rPr>
            </w:pPr>
            <w:r w:rsidRPr="00C3102A">
              <w:rPr>
                <w:smallCaps/>
                <w:sz w:val="22"/>
                <w:szCs w:val="22"/>
              </w:rPr>
              <w:t>YES/NO</w:t>
            </w:r>
          </w:p>
        </w:tc>
      </w:tr>
      <w:tr w:rsidR="00C3102A" w:rsidRPr="00C3102A" w14:paraId="6DB41BA6" w14:textId="77777777" w:rsidTr="0042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5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A134E2B" w14:textId="2E71569B" w:rsidR="00C3102A" w:rsidRPr="00C3102A" w:rsidRDefault="00C3102A" w:rsidP="00C3102A">
            <w:pPr>
              <w:jc w:val="center"/>
              <w:rPr>
                <w:sz w:val="22"/>
                <w:szCs w:val="22"/>
              </w:rPr>
            </w:pPr>
            <w:r w:rsidRPr="00C3102A">
              <w:rPr>
                <w:sz w:val="22"/>
                <w:szCs w:val="22"/>
              </w:rPr>
              <w:t>2.2</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11AA8AC3" w14:textId="4C2AA5C5" w:rsidR="00C3102A" w:rsidRPr="00C3102A" w:rsidRDefault="004255A2" w:rsidP="004255A2">
            <w:pPr>
              <w:ind w:left="208" w:right="180"/>
              <w:jc w:val="both"/>
              <w:rPr>
                <w:sz w:val="22"/>
                <w:szCs w:val="22"/>
              </w:rPr>
            </w:pPr>
            <w:r>
              <w:rPr>
                <w:sz w:val="22"/>
                <w:szCs w:val="22"/>
                <w:lang w:val="en-US"/>
              </w:rPr>
              <w:t>Delivery</w:t>
            </w:r>
            <w:r w:rsidR="00C3102A" w:rsidRPr="00C62050">
              <w:rPr>
                <w:sz w:val="22"/>
                <w:szCs w:val="22"/>
                <w:lang w:val="en-US"/>
              </w:rPr>
              <w:t xml:space="preserve"> of </w:t>
            </w:r>
            <w:r w:rsidR="00C3102A">
              <w:rPr>
                <w:sz w:val="22"/>
                <w:szCs w:val="22"/>
                <w:lang w:val="en-US"/>
              </w:rPr>
              <w:t xml:space="preserve">new </w:t>
            </w:r>
            <w:r w:rsidR="00C3102A" w:rsidRPr="00C62050">
              <w:rPr>
                <w:sz w:val="22"/>
                <w:szCs w:val="22"/>
                <w:lang w:val="en-US"/>
              </w:rPr>
              <w:t>engines to the Awarding Entity's base located in Warszawa, 01-934, ul. Księżycowa 5</w:t>
            </w:r>
            <w:r>
              <w:rPr>
                <w:sz w:val="22"/>
                <w:szCs w:val="22"/>
                <w:lang w:val="en-US"/>
              </w:rPr>
              <w:t xml:space="preserve">, </w:t>
            </w:r>
            <w:r w:rsidRPr="004255A2">
              <w:rPr>
                <w:sz w:val="22"/>
                <w:szCs w:val="22"/>
                <w:lang w:val="en-US"/>
              </w:rPr>
              <w:t>will be carried out on the terms described in Incoterms 2020, DDP, including loading.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9A04B9" w14:textId="616DAC9A" w:rsidR="00C3102A" w:rsidRPr="00C3102A" w:rsidRDefault="00C3102A" w:rsidP="00C3102A">
            <w:pPr>
              <w:autoSpaceDE w:val="0"/>
              <w:autoSpaceDN w:val="0"/>
              <w:adjustRightInd w:val="0"/>
              <w:jc w:val="center"/>
              <w:rPr>
                <w:smallCaps/>
                <w:sz w:val="22"/>
                <w:szCs w:val="22"/>
              </w:rPr>
            </w:pPr>
            <w:r w:rsidRPr="00C3102A">
              <w:rPr>
                <w:smallCaps/>
                <w:sz w:val="22"/>
                <w:szCs w:val="22"/>
              </w:rPr>
              <w:t>YES/NO</w:t>
            </w:r>
          </w:p>
        </w:tc>
      </w:tr>
      <w:tr w:rsidR="00C3102A" w:rsidRPr="00C3102A" w14:paraId="325573F9" w14:textId="77777777" w:rsidTr="00C31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6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B20373" w14:textId="3C571983" w:rsidR="00C3102A" w:rsidRPr="00C3102A" w:rsidRDefault="00C3102A" w:rsidP="00C3102A">
            <w:pPr>
              <w:jc w:val="center"/>
              <w:rPr>
                <w:sz w:val="22"/>
                <w:szCs w:val="22"/>
              </w:rPr>
            </w:pPr>
            <w:r w:rsidRPr="00C3102A">
              <w:rPr>
                <w:sz w:val="22"/>
                <w:szCs w:val="22"/>
              </w:rPr>
              <w:t>2.3</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203B250D" w14:textId="5C0A293A" w:rsidR="00C3102A" w:rsidRPr="00C3102A" w:rsidRDefault="00C3102A" w:rsidP="00C3102A">
            <w:pPr>
              <w:ind w:left="208" w:right="180"/>
              <w:jc w:val="both"/>
              <w:rPr>
                <w:sz w:val="22"/>
                <w:szCs w:val="22"/>
              </w:rPr>
            </w:pPr>
            <w:r w:rsidRPr="00C62050">
              <w:rPr>
                <w:sz w:val="22"/>
                <w:szCs w:val="22"/>
                <w:lang w:val="en-US"/>
              </w:rPr>
              <w:t xml:space="preserve">The Contractor shall collect the engines for replacement, on </w:t>
            </w:r>
            <w:r>
              <w:rPr>
                <w:sz w:val="22"/>
                <w:szCs w:val="22"/>
                <w:lang w:val="en-US"/>
              </w:rPr>
              <w:t>EXW</w:t>
            </w:r>
            <w:r w:rsidRPr="00C62050">
              <w:rPr>
                <w:sz w:val="22"/>
                <w:szCs w:val="22"/>
                <w:lang w:val="en-US"/>
              </w:rPr>
              <w:t xml:space="preserve"> conditions, from the Awarding Entity's base located in Warszawa, 01-934, ul. Księżycowa 5. The schedule for collecting the engines for replacement is attached as </w:t>
            </w:r>
            <w:r>
              <w:rPr>
                <w:sz w:val="22"/>
                <w:szCs w:val="22"/>
                <w:lang w:val="en-US"/>
              </w:rPr>
              <w:t>A</w:t>
            </w:r>
            <w:r w:rsidRPr="00C62050">
              <w:rPr>
                <w:sz w:val="22"/>
                <w:szCs w:val="22"/>
                <w:lang w:val="en-US"/>
              </w:rPr>
              <w:t xml:space="preserve">ppendix </w:t>
            </w:r>
            <w:r>
              <w:rPr>
                <w:sz w:val="22"/>
                <w:szCs w:val="22"/>
                <w:lang w:val="en-US"/>
              </w:rPr>
              <w:t>N</w:t>
            </w:r>
            <w:r w:rsidRPr="00C62050">
              <w:rPr>
                <w:sz w:val="22"/>
                <w:szCs w:val="22"/>
                <w:lang w:val="en-US"/>
              </w:rPr>
              <w:t xml:space="preserve">o. 3 to the Draft Agreement Provisions constituting Appendix </w:t>
            </w:r>
            <w:r>
              <w:rPr>
                <w:sz w:val="22"/>
                <w:szCs w:val="22"/>
                <w:lang w:val="en-US"/>
              </w:rPr>
              <w:t>N</w:t>
            </w:r>
            <w:r w:rsidRPr="00C62050">
              <w:rPr>
                <w:sz w:val="22"/>
                <w:szCs w:val="22"/>
                <w:lang w:val="en-US"/>
              </w:rPr>
              <w:t>o. 1 to the Terms of Reference.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092823" w14:textId="747A8377" w:rsidR="00C3102A" w:rsidRPr="00C3102A" w:rsidRDefault="00C3102A" w:rsidP="00C3102A">
            <w:pPr>
              <w:autoSpaceDE w:val="0"/>
              <w:autoSpaceDN w:val="0"/>
              <w:adjustRightInd w:val="0"/>
              <w:jc w:val="center"/>
              <w:rPr>
                <w:smallCaps/>
                <w:sz w:val="22"/>
                <w:szCs w:val="22"/>
              </w:rPr>
            </w:pPr>
            <w:r w:rsidRPr="00C3102A">
              <w:rPr>
                <w:smallCaps/>
                <w:sz w:val="22"/>
                <w:szCs w:val="22"/>
              </w:rPr>
              <w:t>YES/NO</w:t>
            </w:r>
          </w:p>
        </w:tc>
      </w:tr>
      <w:tr w:rsidR="00C3102A" w:rsidRPr="00C3102A" w14:paraId="6CC0F413" w14:textId="77777777" w:rsidTr="00C31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34EE636" w14:textId="292D9A3C" w:rsidR="00C3102A" w:rsidRPr="00C3102A" w:rsidRDefault="00C3102A" w:rsidP="00C3102A">
            <w:pPr>
              <w:jc w:val="center"/>
              <w:rPr>
                <w:sz w:val="22"/>
                <w:szCs w:val="22"/>
              </w:rPr>
            </w:pPr>
            <w:r w:rsidRPr="00C3102A">
              <w:rPr>
                <w:sz w:val="22"/>
                <w:szCs w:val="22"/>
              </w:rPr>
              <w:t>2.4</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54E2556C" w14:textId="2EDA937F" w:rsidR="00C3102A" w:rsidRPr="00C3102A" w:rsidRDefault="00C3102A" w:rsidP="0002055A">
            <w:pPr>
              <w:ind w:left="208" w:right="180"/>
              <w:jc w:val="both"/>
              <w:rPr>
                <w:sz w:val="22"/>
                <w:szCs w:val="22"/>
              </w:rPr>
            </w:pPr>
            <w:r w:rsidRPr="00C62050">
              <w:rPr>
                <w:sz w:val="22"/>
                <w:szCs w:val="22"/>
                <w:lang w:val="en-US"/>
              </w:rPr>
              <w:t xml:space="preserve">The final date for completion of the Agreement is 16 December </w:t>
            </w:r>
            <w:r w:rsidRPr="00C3102A">
              <w:rPr>
                <w:sz w:val="22"/>
                <w:szCs w:val="22"/>
              </w:rPr>
              <w:t>202</w:t>
            </w:r>
            <w:r w:rsidR="0002055A">
              <w:rPr>
                <w:sz w:val="22"/>
                <w:szCs w:val="22"/>
              </w:rPr>
              <w:t>3</w:t>
            </w:r>
            <w:r w:rsidRPr="00C3102A">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F3E5BB" w14:textId="5582AA8A" w:rsidR="00C3102A" w:rsidRPr="00C3102A" w:rsidRDefault="00C3102A" w:rsidP="00C3102A">
            <w:pPr>
              <w:autoSpaceDE w:val="0"/>
              <w:autoSpaceDN w:val="0"/>
              <w:adjustRightInd w:val="0"/>
              <w:jc w:val="center"/>
              <w:rPr>
                <w:smallCaps/>
                <w:sz w:val="22"/>
                <w:szCs w:val="22"/>
              </w:rPr>
            </w:pPr>
            <w:r w:rsidRPr="00C3102A">
              <w:rPr>
                <w:smallCaps/>
                <w:sz w:val="22"/>
                <w:szCs w:val="22"/>
              </w:rPr>
              <w:t>YES/NO</w:t>
            </w:r>
          </w:p>
        </w:tc>
      </w:tr>
    </w:tbl>
    <w:p w14:paraId="292E7A4A" w14:textId="4FF2676E" w:rsidR="00AF406C" w:rsidRPr="00136F24" w:rsidRDefault="00804D1F" w:rsidP="00E36C16">
      <w:pPr>
        <w:pStyle w:val="Tekstpodstawowywcity31"/>
        <w:tabs>
          <w:tab w:val="left" w:pos="644"/>
        </w:tabs>
        <w:spacing w:before="240" w:after="120"/>
        <w:ind w:left="0" w:right="-142"/>
        <w:rPr>
          <w:rFonts w:ascii="Times New Roman" w:hAnsi="Times New Roman"/>
          <w:i w:val="0"/>
          <w:iCs/>
          <w:color w:val="000000"/>
          <w:sz w:val="22"/>
          <w:szCs w:val="22"/>
        </w:rPr>
      </w:pPr>
      <w:r>
        <w:rPr>
          <w:rFonts w:ascii="Times New Roman" w:hAnsi="Times New Roman"/>
          <w:b/>
          <w:i w:val="0"/>
          <w:iCs/>
          <w:sz w:val="22"/>
          <w:szCs w:val="22"/>
          <w:u w:val="single"/>
        </w:rPr>
        <w:t xml:space="preserve">Table 3 </w:t>
      </w:r>
      <w:r w:rsidRPr="00DD25BA">
        <w:rPr>
          <w:rFonts w:ascii="Times New Roman" w:hAnsi="Times New Roman"/>
          <w:b/>
          <w:i w:val="0"/>
          <w:iCs/>
          <w:sz w:val="22"/>
          <w:szCs w:val="22"/>
          <w:u w:val="single"/>
        </w:rPr>
        <w:t xml:space="preserve">- </w:t>
      </w:r>
      <w:r>
        <w:rPr>
          <w:rFonts w:ascii="Times New Roman" w:hAnsi="Times New Roman"/>
          <w:i w:val="0"/>
          <w:iCs/>
          <w:color w:val="000000"/>
          <w:sz w:val="22"/>
          <w:szCs w:val="22"/>
        </w:rPr>
        <w:t>Warranty</w:t>
      </w:r>
    </w:p>
    <w:tbl>
      <w:tblPr>
        <w:tblW w:w="147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740"/>
        <w:gridCol w:w="2268"/>
      </w:tblGrid>
      <w:tr w:rsidR="00804D1F" w:rsidRPr="00136F24" w14:paraId="09C4C7AB" w14:textId="77777777" w:rsidTr="00513BF0">
        <w:tc>
          <w:tcPr>
            <w:tcW w:w="709" w:type="dxa"/>
          </w:tcPr>
          <w:p w14:paraId="771621AD" w14:textId="2176C0BA" w:rsidR="00804D1F" w:rsidRPr="00136F24" w:rsidRDefault="00804D1F" w:rsidP="00804D1F">
            <w:pPr>
              <w:autoSpaceDE w:val="0"/>
              <w:autoSpaceDN w:val="0"/>
              <w:adjustRightInd w:val="0"/>
              <w:jc w:val="center"/>
              <w:rPr>
                <w:b/>
                <w:smallCaps/>
              </w:rPr>
            </w:pPr>
            <w:r>
              <w:rPr>
                <w:b/>
                <w:smallCaps/>
                <w:sz w:val="22"/>
                <w:szCs w:val="22"/>
              </w:rPr>
              <w:t>No</w:t>
            </w:r>
          </w:p>
        </w:tc>
        <w:tc>
          <w:tcPr>
            <w:tcW w:w="11740" w:type="dxa"/>
          </w:tcPr>
          <w:p w14:paraId="2716DDEA" w14:textId="63CC6A46" w:rsidR="00804D1F" w:rsidRPr="00136F24" w:rsidRDefault="00804D1F" w:rsidP="00804D1F">
            <w:pPr>
              <w:autoSpaceDE w:val="0"/>
              <w:autoSpaceDN w:val="0"/>
              <w:adjustRightInd w:val="0"/>
              <w:jc w:val="center"/>
              <w:rPr>
                <w:b/>
                <w:bCs/>
                <w:highlight w:val="lightGray"/>
              </w:rPr>
            </w:pPr>
            <w:r w:rsidRPr="005C3E88">
              <w:rPr>
                <w:b/>
                <w:smallCaps/>
                <w:sz w:val="22"/>
                <w:szCs w:val="22"/>
              </w:rPr>
              <w:t>REQUIRED PARAMETERS</w:t>
            </w:r>
          </w:p>
        </w:tc>
        <w:tc>
          <w:tcPr>
            <w:tcW w:w="2268" w:type="dxa"/>
            <w:tcBorders>
              <w:bottom w:val="single" w:sz="4" w:space="0" w:color="auto"/>
            </w:tcBorders>
          </w:tcPr>
          <w:p w14:paraId="334C1B6C" w14:textId="3415DCF1" w:rsidR="00804D1F" w:rsidRPr="00136F24" w:rsidRDefault="00804D1F" w:rsidP="00804D1F">
            <w:pPr>
              <w:pStyle w:val="Nagwek5"/>
              <w:autoSpaceDE w:val="0"/>
              <w:autoSpaceDN w:val="0"/>
              <w:adjustRightInd w:val="0"/>
              <w:rPr>
                <w:rFonts w:ascii="Times New Roman" w:hAnsi="Times New Roman"/>
                <w:smallCaps/>
                <w:sz w:val="22"/>
              </w:rPr>
            </w:pPr>
            <w:r w:rsidRPr="00DD25BA">
              <w:rPr>
                <w:rFonts w:ascii="Times New Roman" w:hAnsi="Times New Roman"/>
                <w:smallCaps/>
                <w:sz w:val="22"/>
                <w:szCs w:val="22"/>
              </w:rPr>
              <w:t>YES/NO*</w:t>
            </w:r>
          </w:p>
        </w:tc>
      </w:tr>
      <w:tr w:rsidR="00AF406C" w:rsidRPr="00136F24" w14:paraId="75401D66" w14:textId="77777777" w:rsidTr="00513BF0">
        <w:tc>
          <w:tcPr>
            <w:tcW w:w="709" w:type="dxa"/>
            <w:tcBorders>
              <w:top w:val="single" w:sz="4" w:space="0" w:color="auto"/>
              <w:left w:val="single" w:sz="4" w:space="0" w:color="auto"/>
              <w:bottom w:val="single" w:sz="4" w:space="0" w:color="auto"/>
              <w:right w:val="single" w:sz="4" w:space="0" w:color="auto"/>
            </w:tcBorders>
            <w:shd w:val="clear" w:color="auto" w:fill="B3B3B3"/>
          </w:tcPr>
          <w:p w14:paraId="5D2C9EE5" w14:textId="77777777" w:rsidR="00AF406C" w:rsidRPr="00136F24" w:rsidRDefault="00AF406C" w:rsidP="00FE04CE">
            <w:pPr>
              <w:autoSpaceDE w:val="0"/>
              <w:autoSpaceDN w:val="0"/>
              <w:adjustRightInd w:val="0"/>
              <w:jc w:val="center"/>
              <w:rPr>
                <w:b/>
                <w:bCs/>
                <w:iCs/>
                <w:color w:val="000000"/>
                <w:highlight w:val="lightGray"/>
              </w:rPr>
            </w:pPr>
            <w:r w:rsidRPr="00136F24">
              <w:rPr>
                <w:b/>
                <w:bCs/>
                <w:iCs/>
                <w:color w:val="000000"/>
                <w:sz w:val="22"/>
                <w:szCs w:val="22"/>
                <w:highlight w:val="lightGray"/>
              </w:rPr>
              <w:t>1.</w:t>
            </w:r>
          </w:p>
        </w:tc>
        <w:tc>
          <w:tcPr>
            <w:tcW w:w="11740" w:type="dxa"/>
            <w:tcBorders>
              <w:top w:val="single" w:sz="4" w:space="0" w:color="auto"/>
              <w:left w:val="single" w:sz="4" w:space="0" w:color="auto"/>
              <w:bottom w:val="single" w:sz="4" w:space="0" w:color="auto"/>
              <w:right w:val="single" w:sz="4" w:space="0" w:color="auto"/>
            </w:tcBorders>
            <w:shd w:val="clear" w:color="auto" w:fill="B3B3B3"/>
          </w:tcPr>
          <w:p w14:paraId="13D8A4BD" w14:textId="77777777" w:rsidR="00AF406C" w:rsidRPr="00136F24" w:rsidRDefault="00AF406C" w:rsidP="00FE04CE">
            <w:pPr>
              <w:autoSpaceDE w:val="0"/>
              <w:autoSpaceDN w:val="0"/>
              <w:adjustRightInd w:val="0"/>
              <w:jc w:val="center"/>
              <w:rPr>
                <w:b/>
                <w:bCs/>
                <w:iCs/>
                <w:color w:val="000000"/>
                <w:highlight w:val="lightGray"/>
              </w:rPr>
            </w:pPr>
            <w:r w:rsidRPr="00136F24">
              <w:rPr>
                <w:b/>
                <w:bCs/>
                <w:iCs/>
                <w:color w:val="000000"/>
                <w:sz w:val="22"/>
                <w:szCs w:val="22"/>
                <w:highlight w:val="lightGray"/>
              </w:rPr>
              <w:t>2.</w:t>
            </w:r>
          </w:p>
        </w:tc>
        <w:tc>
          <w:tcPr>
            <w:tcW w:w="2268" w:type="dxa"/>
            <w:tcBorders>
              <w:top w:val="single" w:sz="4" w:space="0" w:color="auto"/>
              <w:left w:val="single" w:sz="4" w:space="0" w:color="auto"/>
              <w:bottom w:val="single" w:sz="4" w:space="0" w:color="auto"/>
              <w:right w:val="single" w:sz="4" w:space="0" w:color="auto"/>
            </w:tcBorders>
            <w:shd w:val="clear" w:color="auto" w:fill="B3B3B3"/>
          </w:tcPr>
          <w:p w14:paraId="7934AF90" w14:textId="77777777" w:rsidR="00AF406C" w:rsidRPr="00136F24" w:rsidRDefault="00AF406C" w:rsidP="00FE04CE">
            <w:pPr>
              <w:autoSpaceDE w:val="0"/>
              <w:autoSpaceDN w:val="0"/>
              <w:adjustRightInd w:val="0"/>
              <w:jc w:val="center"/>
              <w:rPr>
                <w:b/>
                <w:bCs/>
                <w:highlight w:val="lightGray"/>
              </w:rPr>
            </w:pPr>
            <w:r w:rsidRPr="00136F24">
              <w:rPr>
                <w:b/>
                <w:bCs/>
                <w:sz w:val="22"/>
                <w:szCs w:val="22"/>
                <w:highlight w:val="lightGray"/>
              </w:rPr>
              <w:t>3.</w:t>
            </w:r>
          </w:p>
        </w:tc>
      </w:tr>
      <w:tr w:rsidR="00804D1F" w:rsidRPr="00136F24" w14:paraId="2B8F848B" w14:textId="77777777" w:rsidTr="00136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41"/>
        </w:trPr>
        <w:tc>
          <w:tcPr>
            <w:tcW w:w="709" w:type="dxa"/>
            <w:tcBorders>
              <w:top w:val="single" w:sz="4" w:space="0" w:color="auto"/>
              <w:left w:val="single" w:sz="4" w:space="0" w:color="auto"/>
              <w:bottom w:val="single" w:sz="4" w:space="0" w:color="auto"/>
              <w:right w:val="single" w:sz="4" w:space="0" w:color="auto"/>
            </w:tcBorders>
          </w:tcPr>
          <w:p w14:paraId="37B4B616" w14:textId="77777777" w:rsidR="00804D1F" w:rsidRPr="00136F24" w:rsidRDefault="00804D1F" w:rsidP="00804D1F">
            <w:pPr>
              <w:jc w:val="center"/>
              <w:rPr>
                <w:rFonts w:eastAsia="Arial Unicode MS"/>
              </w:rPr>
            </w:pPr>
            <w:r w:rsidRPr="00136F24">
              <w:rPr>
                <w:sz w:val="22"/>
                <w:szCs w:val="22"/>
              </w:rPr>
              <w:t>3.1</w:t>
            </w:r>
          </w:p>
        </w:tc>
        <w:tc>
          <w:tcPr>
            <w:tcW w:w="11740" w:type="dxa"/>
            <w:tcBorders>
              <w:top w:val="single" w:sz="4" w:space="0" w:color="auto"/>
              <w:left w:val="single" w:sz="4" w:space="0" w:color="auto"/>
              <w:bottom w:val="single" w:sz="4" w:space="0" w:color="auto"/>
              <w:right w:val="single" w:sz="4" w:space="0" w:color="auto"/>
            </w:tcBorders>
          </w:tcPr>
          <w:p w14:paraId="2ABA305A" w14:textId="5902DC05" w:rsidR="00804D1F" w:rsidRPr="00136F24" w:rsidRDefault="004E26AA" w:rsidP="00804D1F">
            <w:pPr>
              <w:ind w:left="208" w:right="180"/>
              <w:jc w:val="both"/>
              <w:rPr>
                <w:rFonts w:eastAsia="Arial Unicode MS"/>
              </w:rPr>
            </w:pPr>
            <w:r w:rsidRPr="00663221">
              <w:rPr>
                <w:sz w:val="22"/>
                <w:szCs w:val="22"/>
                <w:lang w:val="en-US"/>
              </w:rPr>
              <w:t xml:space="preserve">The </w:t>
            </w:r>
            <w:r>
              <w:rPr>
                <w:sz w:val="22"/>
                <w:szCs w:val="22"/>
                <w:lang w:val="en-US"/>
              </w:rPr>
              <w:t>Contractor</w:t>
            </w:r>
            <w:r w:rsidRPr="00663221">
              <w:rPr>
                <w:sz w:val="22"/>
                <w:szCs w:val="22"/>
                <w:lang w:val="en-US"/>
              </w:rPr>
              <w:t xml:space="preserve"> must provide the </w:t>
            </w:r>
            <w:r>
              <w:rPr>
                <w:sz w:val="22"/>
                <w:szCs w:val="22"/>
                <w:lang w:val="en-US"/>
              </w:rPr>
              <w:t>Awarding Entity</w:t>
            </w:r>
            <w:r w:rsidRPr="00663221">
              <w:rPr>
                <w:sz w:val="22"/>
                <w:szCs w:val="22"/>
                <w:lang w:val="en-US"/>
              </w:rPr>
              <w:t xml:space="preserve"> with a warranty on each new engine supplied for a period of at least </w:t>
            </w:r>
            <w:r w:rsidR="00804D1F" w:rsidRPr="00136F24">
              <w:rPr>
                <w:sz w:val="22"/>
                <w:szCs w:val="22"/>
              </w:rPr>
              <w:t xml:space="preserve">1000 </w:t>
            </w:r>
            <w:r w:rsidRPr="00663221">
              <w:rPr>
                <w:sz w:val="22"/>
                <w:szCs w:val="22"/>
                <w:lang w:val="en-US"/>
              </w:rPr>
              <w:t xml:space="preserve">flight hours </w:t>
            </w:r>
            <w:r>
              <w:rPr>
                <w:sz w:val="22"/>
                <w:szCs w:val="22"/>
                <w:lang w:val="en-US"/>
              </w:rPr>
              <w:t xml:space="preserve">(FH) </w:t>
            </w:r>
            <w:r w:rsidRPr="00663221">
              <w:rPr>
                <w:sz w:val="22"/>
                <w:szCs w:val="22"/>
                <w:lang w:val="en-US"/>
              </w:rPr>
              <w:t>or at least</w:t>
            </w:r>
            <w:r w:rsidRPr="00136F24" w:rsidDel="004E26AA">
              <w:rPr>
                <w:sz w:val="22"/>
                <w:szCs w:val="22"/>
              </w:rPr>
              <w:t xml:space="preserve"> </w:t>
            </w:r>
            <w:r w:rsidR="00804D1F" w:rsidRPr="00136F24">
              <w:rPr>
                <w:sz w:val="22"/>
                <w:szCs w:val="22"/>
              </w:rPr>
              <w:t xml:space="preserve">24 </w:t>
            </w:r>
            <w:r w:rsidRPr="00663221">
              <w:rPr>
                <w:sz w:val="22"/>
                <w:szCs w:val="22"/>
                <w:lang w:val="en-US"/>
              </w:rPr>
              <w:t>months of operation, whichever comes first.</w:t>
            </w:r>
          </w:p>
        </w:tc>
        <w:tc>
          <w:tcPr>
            <w:tcW w:w="2268" w:type="dxa"/>
            <w:tcBorders>
              <w:top w:val="single" w:sz="4" w:space="0" w:color="auto"/>
              <w:left w:val="single" w:sz="4" w:space="0" w:color="auto"/>
              <w:bottom w:val="single" w:sz="4" w:space="0" w:color="auto"/>
              <w:right w:val="single" w:sz="4" w:space="0" w:color="auto"/>
            </w:tcBorders>
          </w:tcPr>
          <w:p w14:paraId="43DDB5AD" w14:textId="45C9D767" w:rsidR="00804D1F" w:rsidRPr="00136F24" w:rsidRDefault="00804D1F" w:rsidP="00804D1F">
            <w:pPr>
              <w:autoSpaceDE w:val="0"/>
              <w:autoSpaceDN w:val="0"/>
              <w:adjustRightInd w:val="0"/>
              <w:jc w:val="center"/>
              <w:rPr>
                <w:b/>
                <w:bCs/>
              </w:rPr>
            </w:pPr>
            <w:r w:rsidRPr="00C31014">
              <w:rPr>
                <w:smallCaps/>
                <w:sz w:val="22"/>
                <w:szCs w:val="22"/>
              </w:rPr>
              <w:t>YES/NO</w:t>
            </w:r>
          </w:p>
        </w:tc>
      </w:tr>
      <w:tr w:rsidR="00804D1F" w:rsidRPr="00136F24" w14:paraId="27B68FE4" w14:textId="77777777" w:rsidTr="00E3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52"/>
        </w:trPr>
        <w:tc>
          <w:tcPr>
            <w:tcW w:w="709" w:type="dxa"/>
            <w:tcBorders>
              <w:top w:val="single" w:sz="4" w:space="0" w:color="auto"/>
              <w:left w:val="single" w:sz="4" w:space="0" w:color="auto"/>
              <w:bottom w:val="single" w:sz="4" w:space="0" w:color="auto"/>
              <w:right w:val="single" w:sz="4" w:space="0" w:color="auto"/>
            </w:tcBorders>
          </w:tcPr>
          <w:p w14:paraId="3BDC820B" w14:textId="77777777" w:rsidR="00804D1F" w:rsidRPr="00136F24" w:rsidRDefault="00804D1F" w:rsidP="00804D1F">
            <w:pPr>
              <w:jc w:val="center"/>
            </w:pPr>
            <w:r w:rsidRPr="00136F24">
              <w:rPr>
                <w:sz w:val="22"/>
                <w:szCs w:val="22"/>
              </w:rPr>
              <w:t>3.2</w:t>
            </w:r>
          </w:p>
        </w:tc>
        <w:tc>
          <w:tcPr>
            <w:tcW w:w="11740" w:type="dxa"/>
            <w:tcBorders>
              <w:top w:val="single" w:sz="4" w:space="0" w:color="auto"/>
              <w:left w:val="single" w:sz="4" w:space="0" w:color="auto"/>
              <w:bottom w:val="single" w:sz="4" w:space="0" w:color="auto"/>
              <w:right w:val="single" w:sz="4" w:space="0" w:color="auto"/>
            </w:tcBorders>
          </w:tcPr>
          <w:p w14:paraId="1575A6A8" w14:textId="7DEE6CAD" w:rsidR="00804D1F" w:rsidRPr="00136F24" w:rsidRDefault="004E26AA" w:rsidP="00804D1F">
            <w:pPr>
              <w:ind w:left="208" w:right="180"/>
              <w:jc w:val="both"/>
            </w:pPr>
            <w:r w:rsidRPr="00663221">
              <w:rPr>
                <w:sz w:val="22"/>
                <w:szCs w:val="22"/>
                <w:lang w:val="en-US"/>
              </w:rPr>
              <w:t xml:space="preserve">The </w:t>
            </w:r>
            <w:r>
              <w:rPr>
                <w:sz w:val="22"/>
                <w:szCs w:val="22"/>
                <w:lang w:val="en-US"/>
              </w:rPr>
              <w:t>Contractor</w:t>
            </w:r>
            <w:r w:rsidRPr="00663221">
              <w:rPr>
                <w:sz w:val="22"/>
                <w:szCs w:val="22"/>
                <w:lang w:val="en-US"/>
              </w:rPr>
              <w:t xml:space="preserve"> must provide the </w:t>
            </w:r>
            <w:r>
              <w:rPr>
                <w:sz w:val="22"/>
                <w:szCs w:val="22"/>
                <w:lang w:val="en-US"/>
              </w:rPr>
              <w:t>Awarding Entity</w:t>
            </w:r>
            <w:r w:rsidRPr="00663221">
              <w:rPr>
                <w:sz w:val="22"/>
                <w:szCs w:val="22"/>
                <w:lang w:val="en-US"/>
              </w:rPr>
              <w:t xml:space="preserve"> with a guarantee for the new engines supplied, for periods which will commence from the date of acceptance by the </w:t>
            </w:r>
            <w:r>
              <w:rPr>
                <w:sz w:val="22"/>
                <w:szCs w:val="22"/>
                <w:lang w:val="en-US"/>
              </w:rPr>
              <w:t>Awarding Entity</w:t>
            </w:r>
            <w:r w:rsidRPr="00663221">
              <w:rPr>
                <w:sz w:val="22"/>
                <w:szCs w:val="22"/>
                <w:lang w:val="en-US"/>
              </w:rPr>
              <w:t xml:space="preserve"> of each new engine.</w:t>
            </w:r>
          </w:p>
        </w:tc>
        <w:tc>
          <w:tcPr>
            <w:tcW w:w="2268" w:type="dxa"/>
            <w:tcBorders>
              <w:top w:val="single" w:sz="4" w:space="0" w:color="auto"/>
              <w:left w:val="single" w:sz="4" w:space="0" w:color="auto"/>
              <w:bottom w:val="single" w:sz="4" w:space="0" w:color="auto"/>
              <w:right w:val="single" w:sz="4" w:space="0" w:color="auto"/>
            </w:tcBorders>
          </w:tcPr>
          <w:p w14:paraId="5D873985" w14:textId="6B5959B1" w:rsidR="00804D1F" w:rsidRPr="00136F24" w:rsidRDefault="00804D1F" w:rsidP="00804D1F">
            <w:pPr>
              <w:autoSpaceDE w:val="0"/>
              <w:autoSpaceDN w:val="0"/>
              <w:adjustRightInd w:val="0"/>
              <w:jc w:val="center"/>
              <w:rPr>
                <w:smallCaps/>
              </w:rPr>
            </w:pPr>
            <w:r w:rsidRPr="00C31014">
              <w:rPr>
                <w:smallCaps/>
                <w:sz w:val="22"/>
                <w:szCs w:val="22"/>
              </w:rPr>
              <w:t>YES/NO</w:t>
            </w:r>
          </w:p>
        </w:tc>
      </w:tr>
      <w:tr w:rsidR="00804D1F" w:rsidRPr="00136F24" w14:paraId="6ABDE69A" w14:textId="77777777" w:rsidTr="00E3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0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BAD8E0" w14:textId="77777777" w:rsidR="00804D1F" w:rsidRPr="00136F24" w:rsidRDefault="00804D1F" w:rsidP="00804D1F">
            <w:pPr>
              <w:jc w:val="center"/>
            </w:pPr>
            <w:r w:rsidRPr="00136F24">
              <w:rPr>
                <w:sz w:val="22"/>
                <w:szCs w:val="22"/>
              </w:rPr>
              <w:t>3.3</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181EC1F3" w14:textId="7CA6DA21" w:rsidR="00804D1F" w:rsidRPr="00136F24" w:rsidRDefault="00441463" w:rsidP="0002055A">
            <w:pPr>
              <w:ind w:left="208" w:right="180"/>
              <w:jc w:val="both"/>
            </w:pPr>
            <w:r w:rsidRPr="00663221">
              <w:rPr>
                <w:sz w:val="22"/>
                <w:szCs w:val="22"/>
                <w:lang w:val="en-US"/>
              </w:rPr>
              <w:t xml:space="preserve">Every new engine delivered shall be brand new. A brand new engine is defined as a non-operational engine which has not been previously sold or rented and has not been manufactured more than </w:t>
            </w:r>
            <w:r w:rsidR="0002055A">
              <w:rPr>
                <w:sz w:val="22"/>
                <w:szCs w:val="22"/>
                <w:lang w:val="en-US"/>
              </w:rPr>
              <w:t>in the</w:t>
            </w:r>
            <w:r w:rsidRPr="00663221">
              <w:rPr>
                <w:sz w:val="22"/>
                <w:szCs w:val="22"/>
                <w:lang w:val="en-US"/>
              </w:rPr>
              <w:t xml:space="preserve"> year </w:t>
            </w:r>
            <w:r w:rsidR="0002055A" w:rsidRPr="0002055A">
              <w:rPr>
                <w:sz w:val="22"/>
                <w:szCs w:val="22"/>
                <w:lang w:val="en-US"/>
              </w:rPr>
              <w:t xml:space="preserve">of signing the </w:t>
            </w:r>
            <w:r w:rsidR="0002055A">
              <w:rPr>
                <w:sz w:val="22"/>
                <w:szCs w:val="22"/>
                <w:lang w:val="en-US"/>
              </w:rPr>
              <w:t>agreement</w:t>
            </w:r>
            <w:r w:rsidR="0002055A" w:rsidRPr="0002055A">
              <w:rPr>
                <w:sz w:val="22"/>
                <w:szCs w:val="22"/>
                <w:lang w:val="en-US"/>
              </w:rPr>
              <w:t xml:space="preserve"> as a result of the conclusion of the public procuremen</w:t>
            </w:r>
            <w:r w:rsidR="0002055A">
              <w:rPr>
                <w:sz w:val="22"/>
                <w:szCs w:val="22"/>
                <w:lang w:val="en-US"/>
              </w:rPr>
              <w:t>t procedure, with the number ZP/4/VII/</w:t>
            </w:r>
            <w:r w:rsidR="0002055A" w:rsidRPr="0002055A">
              <w:rPr>
                <w:sz w:val="22"/>
                <w:szCs w:val="22"/>
                <w:lang w:val="en-US"/>
              </w:rPr>
              <w:t>2021</w:t>
            </w:r>
            <w:r w:rsidRPr="00663221">
              <w:rPr>
                <w:sz w:val="22"/>
                <w:szCs w:val="22"/>
                <w:lang w:val="en-US"/>
              </w:rPr>
              <w:t xml:space="preserve">. New engines will have completed all applicable Airworthiness Directives, mandatory service bulletins, mandatory </w:t>
            </w:r>
            <w:bookmarkStart w:id="0" w:name="_GoBack"/>
            <w:bookmarkEnd w:id="0"/>
            <w:r w:rsidRPr="00663221">
              <w:rPr>
                <w:sz w:val="22"/>
                <w:szCs w:val="22"/>
                <w:lang w:val="en-US"/>
              </w:rPr>
              <w:t>modifications and other unlisted activities affecting the airworthiness of the engine in effect as of the engine's production end 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034012" w14:textId="5DD2BBE2" w:rsidR="00804D1F" w:rsidRPr="00136F24" w:rsidRDefault="00804D1F" w:rsidP="00804D1F">
            <w:pPr>
              <w:autoSpaceDE w:val="0"/>
              <w:autoSpaceDN w:val="0"/>
              <w:adjustRightInd w:val="0"/>
              <w:jc w:val="center"/>
              <w:rPr>
                <w:smallCaps/>
              </w:rPr>
            </w:pPr>
            <w:r w:rsidRPr="00C31014">
              <w:rPr>
                <w:smallCaps/>
                <w:sz w:val="22"/>
                <w:szCs w:val="22"/>
              </w:rPr>
              <w:t>YES/NO</w:t>
            </w:r>
          </w:p>
        </w:tc>
      </w:tr>
      <w:tr w:rsidR="00804D1F" w:rsidRPr="00136F24" w14:paraId="0A55F43E" w14:textId="77777777" w:rsidTr="00E3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22"/>
        </w:trPr>
        <w:tc>
          <w:tcPr>
            <w:tcW w:w="709" w:type="dxa"/>
            <w:tcBorders>
              <w:top w:val="single" w:sz="4" w:space="0" w:color="auto"/>
              <w:left w:val="single" w:sz="4" w:space="0" w:color="auto"/>
              <w:bottom w:val="single" w:sz="4" w:space="0" w:color="auto"/>
              <w:right w:val="single" w:sz="4" w:space="0" w:color="auto"/>
            </w:tcBorders>
            <w:noWrap/>
          </w:tcPr>
          <w:p w14:paraId="124489B9" w14:textId="77777777" w:rsidR="00804D1F" w:rsidRPr="00136F24" w:rsidRDefault="00804D1F" w:rsidP="00804D1F">
            <w:pPr>
              <w:jc w:val="center"/>
              <w:rPr>
                <w:rFonts w:eastAsia="Arial Unicode MS"/>
              </w:rPr>
            </w:pPr>
            <w:r w:rsidRPr="00136F24">
              <w:rPr>
                <w:sz w:val="22"/>
                <w:szCs w:val="22"/>
              </w:rPr>
              <w:t>3.4</w:t>
            </w:r>
          </w:p>
        </w:tc>
        <w:tc>
          <w:tcPr>
            <w:tcW w:w="11740" w:type="dxa"/>
            <w:tcBorders>
              <w:top w:val="single" w:sz="4" w:space="0" w:color="auto"/>
              <w:left w:val="single" w:sz="4" w:space="0" w:color="auto"/>
              <w:bottom w:val="single" w:sz="4" w:space="0" w:color="auto"/>
              <w:right w:val="single" w:sz="4" w:space="0" w:color="auto"/>
            </w:tcBorders>
          </w:tcPr>
          <w:p w14:paraId="6A6447A2" w14:textId="7F9C2566" w:rsidR="00804D1F" w:rsidRPr="00136F24" w:rsidRDefault="00E36C16" w:rsidP="00E36C16">
            <w:pPr>
              <w:ind w:left="208" w:right="180"/>
              <w:jc w:val="both"/>
              <w:rPr>
                <w:rFonts w:eastAsia="Arial Unicode MS"/>
              </w:rPr>
            </w:pPr>
            <w:r w:rsidRPr="00663221">
              <w:rPr>
                <w:sz w:val="22"/>
                <w:szCs w:val="22"/>
                <w:lang w:val="en-US"/>
              </w:rPr>
              <w:t xml:space="preserve">Warranty terms and conditions and the way of performing warranty </w:t>
            </w:r>
            <w:r>
              <w:rPr>
                <w:sz w:val="22"/>
                <w:szCs w:val="22"/>
                <w:lang w:val="en-US"/>
              </w:rPr>
              <w:t>overhauls</w:t>
            </w:r>
            <w:r w:rsidRPr="00663221">
              <w:rPr>
                <w:sz w:val="22"/>
                <w:szCs w:val="22"/>
                <w:lang w:val="en-US"/>
              </w:rPr>
              <w:t xml:space="preserve"> mentioned in points. </w:t>
            </w:r>
            <w:r>
              <w:rPr>
                <w:sz w:val="22"/>
                <w:szCs w:val="22"/>
                <w:lang w:val="en-US"/>
              </w:rPr>
              <w:t>3</w:t>
            </w:r>
            <w:r w:rsidRPr="00663221">
              <w:rPr>
                <w:sz w:val="22"/>
                <w:szCs w:val="22"/>
                <w:lang w:val="en-US"/>
              </w:rPr>
              <w:t xml:space="preserve">.1 and item. </w:t>
            </w:r>
            <w:r>
              <w:rPr>
                <w:sz w:val="22"/>
                <w:szCs w:val="22"/>
                <w:lang w:val="en-US"/>
              </w:rPr>
              <w:t>3</w:t>
            </w:r>
            <w:r w:rsidRPr="00663221">
              <w:rPr>
                <w:sz w:val="22"/>
                <w:szCs w:val="22"/>
                <w:lang w:val="en-US"/>
              </w:rPr>
              <w:t xml:space="preserve">.2 are specified in detail in the Draft </w:t>
            </w:r>
            <w:r>
              <w:rPr>
                <w:sz w:val="22"/>
                <w:szCs w:val="22"/>
                <w:lang w:val="en-US"/>
              </w:rPr>
              <w:t>Agreement</w:t>
            </w:r>
            <w:r w:rsidRPr="00663221">
              <w:rPr>
                <w:sz w:val="22"/>
                <w:szCs w:val="22"/>
                <w:lang w:val="en-US"/>
              </w:rPr>
              <w:t xml:space="preserve"> </w:t>
            </w:r>
            <w:r>
              <w:rPr>
                <w:sz w:val="22"/>
                <w:szCs w:val="22"/>
                <w:lang w:val="en-US"/>
              </w:rPr>
              <w:t>Provisions</w:t>
            </w:r>
            <w:r w:rsidRPr="00663221">
              <w:rPr>
                <w:sz w:val="22"/>
                <w:szCs w:val="22"/>
                <w:lang w:val="en-US"/>
              </w:rPr>
              <w:t xml:space="preserve">, which constitute </w:t>
            </w:r>
            <w:r>
              <w:rPr>
                <w:sz w:val="22"/>
                <w:szCs w:val="22"/>
                <w:lang w:val="en-US"/>
              </w:rPr>
              <w:t>Appendix</w:t>
            </w:r>
            <w:r w:rsidRPr="00663221">
              <w:rPr>
                <w:sz w:val="22"/>
                <w:szCs w:val="22"/>
                <w:lang w:val="en-US"/>
              </w:rPr>
              <w:t xml:space="preserve"> No. 1 to the </w:t>
            </w:r>
            <w:r>
              <w:rPr>
                <w:sz w:val="22"/>
                <w:szCs w:val="22"/>
                <w:lang w:val="en-US"/>
              </w:rPr>
              <w:t>ToR</w:t>
            </w:r>
            <w:r w:rsidRPr="00663221">
              <w:rPr>
                <w:sz w:val="22"/>
                <w:szCs w:val="22"/>
                <w:lang w:val="en-US"/>
              </w:rPr>
              <w:t>.</w:t>
            </w:r>
          </w:p>
        </w:tc>
        <w:tc>
          <w:tcPr>
            <w:tcW w:w="2268" w:type="dxa"/>
            <w:tcBorders>
              <w:top w:val="single" w:sz="4" w:space="0" w:color="auto"/>
              <w:left w:val="single" w:sz="4" w:space="0" w:color="auto"/>
              <w:bottom w:val="single" w:sz="4" w:space="0" w:color="auto"/>
              <w:right w:val="single" w:sz="4" w:space="0" w:color="auto"/>
            </w:tcBorders>
          </w:tcPr>
          <w:p w14:paraId="241D125B" w14:textId="787EAC2F" w:rsidR="00804D1F" w:rsidRPr="00136F24" w:rsidRDefault="00804D1F" w:rsidP="00804D1F">
            <w:pPr>
              <w:autoSpaceDE w:val="0"/>
              <w:autoSpaceDN w:val="0"/>
              <w:adjustRightInd w:val="0"/>
              <w:jc w:val="center"/>
              <w:rPr>
                <w:b/>
                <w:bCs/>
              </w:rPr>
            </w:pPr>
            <w:r w:rsidRPr="00C31014">
              <w:rPr>
                <w:smallCaps/>
                <w:sz w:val="22"/>
                <w:szCs w:val="22"/>
              </w:rPr>
              <w:t>YES/NO</w:t>
            </w:r>
          </w:p>
        </w:tc>
      </w:tr>
    </w:tbl>
    <w:p w14:paraId="035F659D" w14:textId="77777777" w:rsidR="00E36C16" w:rsidRDefault="00E36C16" w:rsidP="00E36C16">
      <w:pPr>
        <w:pStyle w:val="Tekstpodstawowywcity31"/>
        <w:tabs>
          <w:tab w:val="left" w:pos="644"/>
        </w:tabs>
        <w:spacing w:before="240" w:after="120"/>
        <w:ind w:left="0" w:right="-142"/>
        <w:rPr>
          <w:rFonts w:ascii="Times New Roman" w:hAnsi="Times New Roman"/>
          <w:b/>
          <w:i w:val="0"/>
          <w:iCs/>
          <w:sz w:val="22"/>
          <w:szCs w:val="22"/>
          <w:u w:val="single"/>
          <w:lang w:val="en-US"/>
        </w:rPr>
      </w:pPr>
    </w:p>
    <w:p w14:paraId="43B0B10B" w14:textId="77777777" w:rsidR="00E36C16" w:rsidRDefault="00E36C16">
      <w:pPr>
        <w:spacing w:after="160" w:line="259" w:lineRule="auto"/>
        <w:rPr>
          <w:b/>
          <w:iCs/>
          <w:sz w:val="22"/>
          <w:szCs w:val="22"/>
          <w:u w:val="single"/>
          <w:lang w:val="en-US"/>
        </w:rPr>
      </w:pPr>
      <w:r>
        <w:rPr>
          <w:b/>
          <w:i/>
          <w:iCs/>
          <w:sz w:val="22"/>
          <w:szCs w:val="22"/>
          <w:u w:val="single"/>
          <w:lang w:val="en-US"/>
        </w:rPr>
        <w:br w:type="page"/>
      </w:r>
    </w:p>
    <w:p w14:paraId="5794C6AF" w14:textId="7DC9D9AD" w:rsidR="005D04CF" w:rsidRPr="00136F24" w:rsidRDefault="00804D1F" w:rsidP="00E36C16">
      <w:pPr>
        <w:pStyle w:val="Tekstpodstawowywcity31"/>
        <w:tabs>
          <w:tab w:val="left" w:pos="644"/>
        </w:tabs>
        <w:spacing w:before="240" w:after="120"/>
        <w:ind w:left="0" w:right="-142"/>
        <w:rPr>
          <w:rFonts w:ascii="Times New Roman" w:hAnsi="Times New Roman"/>
          <w:i w:val="0"/>
          <w:iCs/>
          <w:color w:val="000000"/>
          <w:sz w:val="22"/>
          <w:szCs w:val="22"/>
        </w:rPr>
      </w:pPr>
      <w:r w:rsidRPr="00663221">
        <w:rPr>
          <w:rFonts w:ascii="Times New Roman" w:hAnsi="Times New Roman"/>
          <w:b/>
          <w:i w:val="0"/>
          <w:iCs/>
          <w:sz w:val="22"/>
          <w:szCs w:val="22"/>
          <w:u w:val="single"/>
          <w:lang w:val="en-US"/>
        </w:rPr>
        <w:lastRenderedPageBreak/>
        <w:t xml:space="preserve">Table 4 - </w:t>
      </w:r>
      <w:r w:rsidRPr="00663221">
        <w:rPr>
          <w:rFonts w:ascii="Times New Roman" w:hAnsi="Times New Roman"/>
          <w:i w:val="0"/>
          <w:iCs/>
          <w:color w:val="000000"/>
          <w:sz w:val="22"/>
          <w:szCs w:val="22"/>
          <w:lang w:val="en-US"/>
        </w:rPr>
        <w:t>List of parts considered as having military or dual-use applications</w:t>
      </w:r>
      <w:r>
        <w:rPr>
          <w:rFonts w:ascii="Times New Roman" w:hAnsi="Times New Roman"/>
          <w:i w:val="0"/>
          <w:iCs/>
          <w:color w:val="000000"/>
          <w:sz w:val="22"/>
          <w:szCs w:val="22"/>
          <w:lang w:val="en-US"/>
        </w:rPr>
        <w:t>.</w:t>
      </w:r>
    </w:p>
    <w:tbl>
      <w:tblPr>
        <w:tblW w:w="147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740"/>
        <w:gridCol w:w="2268"/>
      </w:tblGrid>
      <w:tr w:rsidR="00804D1F" w:rsidRPr="00136F24" w14:paraId="3A23B9C0" w14:textId="77777777" w:rsidTr="00513BF0">
        <w:tc>
          <w:tcPr>
            <w:tcW w:w="709" w:type="dxa"/>
          </w:tcPr>
          <w:p w14:paraId="01970B9C" w14:textId="46B99077" w:rsidR="00804D1F" w:rsidRPr="00136F24" w:rsidRDefault="00804D1F" w:rsidP="00804D1F">
            <w:pPr>
              <w:autoSpaceDE w:val="0"/>
              <w:autoSpaceDN w:val="0"/>
              <w:adjustRightInd w:val="0"/>
              <w:jc w:val="center"/>
              <w:rPr>
                <w:b/>
                <w:smallCaps/>
              </w:rPr>
            </w:pPr>
            <w:r>
              <w:rPr>
                <w:b/>
                <w:smallCaps/>
                <w:sz w:val="22"/>
                <w:szCs w:val="22"/>
              </w:rPr>
              <w:t>No</w:t>
            </w:r>
          </w:p>
        </w:tc>
        <w:tc>
          <w:tcPr>
            <w:tcW w:w="11740" w:type="dxa"/>
          </w:tcPr>
          <w:p w14:paraId="1AA4FF98" w14:textId="57E7F0AF" w:rsidR="00804D1F" w:rsidRPr="00136F24" w:rsidRDefault="00804D1F" w:rsidP="00804D1F">
            <w:pPr>
              <w:autoSpaceDE w:val="0"/>
              <w:autoSpaceDN w:val="0"/>
              <w:adjustRightInd w:val="0"/>
              <w:jc w:val="center"/>
              <w:rPr>
                <w:b/>
                <w:bCs/>
                <w:highlight w:val="lightGray"/>
              </w:rPr>
            </w:pPr>
            <w:r w:rsidRPr="005C3E88">
              <w:rPr>
                <w:b/>
                <w:smallCaps/>
                <w:sz w:val="22"/>
                <w:szCs w:val="22"/>
              </w:rPr>
              <w:t>REQUIRED PARAMETERS</w:t>
            </w:r>
          </w:p>
        </w:tc>
        <w:tc>
          <w:tcPr>
            <w:tcW w:w="2268" w:type="dxa"/>
            <w:tcBorders>
              <w:bottom w:val="single" w:sz="4" w:space="0" w:color="auto"/>
            </w:tcBorders>
          </w:tcPr>
          <w:p w14:paraId="46EE2C3B" w14:textId="7809400A" w:rsidR="00804D1F" w:rsidRPr="00136F24" w:rsidRDefault="00804D1F" w:rsidP="00804D1F">
            <w:pPr>
              <w:pStyle w:val="Nagwek5"/>
              <w:autoSpaceDE w:val="0"/>
              <w:autoSpaceDN w:val="0"/>
              <w:adjustRightInd w:val="0"/>
              <w:rPr>
                <w:rFonts w:ascii="Times New Roman" w:hAnsi="Times New Roman"/>
                <w:smallCaps/>
                <w:sz w:val="22"/>
              </w:rPr>
            </w:pPr>
            <w:r w:rsidRPr="00DD25BA">
              <w:rPr>
                <w:rFonts w:ascii="Times New Roman" w:hAnsi="Times New Roman"/>
                <w:smallCaps/>
                <w:sz w:val="22"/>
                <w:szCs w:val="22"/>
              </w:rPr>
              <w:t>YES/NO*</w:t>
            </w:r>
          </w:p>
        </w:tc>
      </w:tr>
      <w:tr w:rsidR="005D04CF" w:rsidRPr="00136F24" w14:paraId="5BE1D9AE" w14:textId="77777777" w:rsidTr="00513BF0">
        <w:tc>
          <w:tcPr>
            <w:tcW w:w="709" w:type="dxa"/>
            <w:tcBorders>
              <w:top w:val="single" w:sz="4" w:space="0" w:color="auto"/>
              <w:left w:val="single" w:sz="4" w:space="0" w:color="auto"/>
              <w:bottom w:val="single" w:sz="4" w:space="0" w:color="auto"/>
              <w:right w:val="single" w:sz="4" w:space="0" w:color="auto"/>
            </w:tcBorders>
            <w:shd w:val="clear" w:color="auto" w:fill="B3B3B3"/>
          </w:tcPr>
          <w:p w14:paraId="0799C289" w14:textId="77777777" w:rsidR="005D04CF" w:rsidRPr="00136F24" w:rsidRDefault="005D04CF" w:rsidP="00FE04CE">
            <w:pPr>
              <w:autoSpaceDE w:val="0"/>
              <w:autoSpaceDN w:val="0"/>
              <w:adjustRightInd w:val="0"/>
              <w:jc w:val="center"/>
              <w:rPr>
                <w:b/>
                <w:bCs/>
                <w:iCs/>
                <w:color w:val="000000"/>
                <w:highlight w:val="lightGray"/>
              </w:rPr>
            </w:pPr>
            <w:r w:rsidRPr="00136F24">
              <w:rPr>
                <w:b/>
                <w:bCs/>
                <w:iCs/>
                <w:color w:val="000000"/>
                <w:sz w:val="22"/>
                <w:szCs w:val="22"/>
                <w:highlight w:val="lightGray"/>
              </w:rPr>
              <w:t>1.</w:t>
            </w:r>
          </w:p>
        </w:tc>
        <w:tc>
          <w:tcPr>
            <w:tcW w:w="11740" w:type="dxa"/>
            <w:tcBorders>
              <w:top w:val="single" w:sz="4" w:space="0" w:color="auto"/>
              <w:left w:val="single" w:sz="4" w:space="0" w:color="auto"/>
              <w:bottom w:val="single" w:sz="4" w:space="0" w:color="auto"/>
              <w:right w:val="single" w:sz="4" w:space="0" w:color="auto"/>
            </w:tcBorders>
            <w:shd w:val="clear" w:color="auto" w:fill="B3B3B3"/>
          </w:tcPr>
          <w:p w14:paraId="30C8B5B2" w14:textId="77777777" w:rsidR="005D04CF" w:rsidRPr="00136F24" w:rsidRDefault="005D04CF" w:rsidP="00FE04CE">
            <w:pPr>
              <w:autoSpaceDE w:val="0"/>
              <w:autoSpaceDN w:val="0"/>
              <w:adjustRightInd w:val="0"/>
              <w:jc w:val="center"/>
              <w:rPr>
                <w:b/>
                <w:bCs/>
                <w:iCs/>
                <w:color w:val="000000"/>
                <w:highlight w:val="lightGray"/>
              </w:rPr>
            </w:pPr>
            <w:r w:rsidRPr="00136F24">
              <w:rPr>
                <w:b/>
                <w:bCs/>
                <w:iCs/>
                <w:color w:val="000000"/>
                <w:sz w:val="22"/>
                <w:szCs w:val="22"/>
                <w:highlight w:val="lightGray"/>
              </w:rPr>
              <w:t>2.</w:t>
            </w:r>
          </w:p>
        </w:tc>
        <w:tc>
          <w:tcPr>
            <w:tcW w:w="2268" w:type="dxa"/>
            <w:tcBorders>
              <w:top w:val="single" w:sz="4" w:space="0" w:color="auto"/>
              <w:left w:val="single" w:sz="4" w:space="0" w:color="auto"/>
              <w:bottom w:val="single" w:sz="4" w:space="0" w:color="auto"/>
              <w:right w:val="single" w:sz="4" w:space="0" w:color="auto"/>
            </w:tcBorders>
            <w:shd w:val="clear" w:color="auto" w:fill="B3B3B3"/>
          </w:tcPr>
          <w:p w14:paraId="1EEF42C9" w14:textId="77777777" w:rsidR="005D04CF" w:rsidRPr="00136F24" w:rsidRDefault="005D04CF" w:rsidP="00FE04CE">
            <w:pPr>
              <w:autoSpaceDE w:val="0"/>
              <w:autoSpaceDN w:val="0"/>
              <w:adjustRightInd w:val="0"/>
              <w:jc w:val="center"/>
              <w:rPr>
                <w:b/>
                <w:bCs/>
                <w:highlight w:val="lightGray"/>
              </w:rPr>
            </w:pPr>
            <w:r w:rsidRPr="00136F24">
              <w:rPr>
                <w:b/>
                <w:bCs/>
                <w:sz w:val="22"/>
                <w:szCs w:val="22"/>
                <w:highlight w:val="lightGray"/>
              </w:rPr>
              <w:t>3.</w:t>
            </w:r>
          </w:p>
        </w:tc>
      </w:tr>
      <w:tr w:rsidR="00804D1F" w:rsidRPr="00136F24" w14:paraId="42E78352" w14:textId="77777777" w:rsidTr="00E3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86"/>
        </w:trPr>
        <w:tc>
          <w:tcPr>
            <w:tcW w:w="709" w:type="dxa"/>
            <w:tcBorders>
              <w:top w:val="single" w:sz="4" w:space="0" w:color="auto"/>
              <w:left w:val="single" w:sz="4" w:space="0" w:color="auto"/>
              <w:bottom w:val="single" w:sz="4" w:space="0" w:color="auto"/>
              <w:right w:val="single" w:sz="4" w:space="0" w:color="auto"/>
            </w:tcBorders>
          </w:tcPr>
          <w:p w14:paraId="0268DF0D" w14:textId="77777777" w:rsidR="00804D1F" w:rsidRPr="00136F24" w:rsidRDefault="00804D1F" w:rsidP="00804D1F">
            <w:pPr>
              <w:jc w:val="center"/>
              <w:rPr>
                <w:rFonts w:eastAsia="Arial Unicode MS"/>
              </w:rPr>
            </w:pPr>
            <w:r w:rsidRPr="00136F24">
              <w:rPr>
                <w:sz w:val="22"/>
                <w:szCs w:val="22"/>
              </w:rPr>
              <w:t>4.1</w:t>
            </w:r>
          </w:p>
        </w:tc>
        <w:tc>
          <w:tcPr>
            <w:tcW w:w="11740" w:type="dxa"/>
            <w:tcBorders>
              <w:top w:val="single" w:sz="4" w:space="0" w:color="auto"/>
              <w:left w:val="single" w:sz="4" w:space="0" w:color="auto"/>
              <w:bottom w:val="single" w:sz="4" w:space="0" w:color="auto"/>
              <w:right w:val="single" w:sz="4" w:space="0" w:color="auto"/>
            </w:tcBorders>
          </w:tcPr>
          <w:p w14:paraId="0C41AC59" w14:textId="635BD675" w:rsidR="00804D1F" w:rsidRPr="00136F24" w:rsidRDefault="00E36C16" w:rsidP="00804D1F">
            <w:pPr>
              <w:ind w:left="208" w:right="180"/>
              <w:jc w:val="both"/>
              <w:rPr>
                <w:rFonts w:eastAsia="Arial Unicode MS"/>
              </w:rPr>
            </w:pPr>
            <w:r w:rsidRPr="00663221">
              <w:rPr>
                <w:sz w:val="22"/>
                <w:szCs w:val="22"/>
                <w:lang w:val="en-US"/>
              </w:rPr>
              <w:t xml:space="preserve">The </w:t>
            </w:r>
            <w:r>
              <w:rPr>
                <w:sz w:val="22"/>
                <w:szCs w:val="22"/>
                <w:lang w:val="en-US"/>
              </w:rPr>
              <w:t>Contractor</w:t>
            </w:r>
            <w:r w:rsidRPr="00663221">
              <w:rPr>
                <w:sz w:val="22"/>
                <w:szCs w:val="22"/>
                <w:lang w:val="en-US"/>
              </w:rPr>
              <w:t xml:space="preserve"> shall immediately, but no later than on </w:t>
            </w:r>
            <w:r>
              <w:rPr>
                <w:sz w:val="22"/>
                <w:szCs w:val="22"/>
                <w:lang w:val="en-US"/>
              </w:rPr>
              <w:t>the day of signing the Agreement</w:t>
            </w:r>
            <w:r w:rsidRPr="00663221">
              <w:rPr>
                <w:sz w:val="22"/>
                <w:szCs w:val="22"/>
                <w:lang w:val="en-US"/>
              </w:rPr>
              <w:t xml:space="preserve">, inform the </w:t>
            </w:r>
            <w:r>
              <w:rPr>
                <w:sz w:val="22"/>
                <w:szCs w:val="22"/>
                <w:lang w:val="en-US"/>
              </w:rPr>
              <w:t xml:space="preserve">Awarding Entity </w:t>
            </w:r>
            <w:r w:rsidRPr="00663221">
              <w:rPr>
                <w:sz w:val="22"/>
                <w:szCs w:val="22"/>
                <w:lang w:val="en-US"/>
              </w:rPr>
              <w:t xml:space="preserve">in writing whether the execution of the </w:t>
            </w:r>
            <w:r>
              <w:rPr>
                <w:sz w:val="22"/>
                <w:szCs w:val="22"/>
                <w:lang w:val="en-US"/>
              </w:rPr>
              <w:t>Agreement</w:t>
            </w:r>
            <w:r w:rsidRPr="00663221">
              <w:rPr>
                <w:sz w:val="22"/>
                <w:szCs w:val="22"/>
                <w:lang w:val="en-US"/>
              </w:rPr>
              <w:t xml:space="preserve"> involves the supply of goods of strategic importance, as referred to in art. 3 item. 3 of the Act of 29 November 2000 on foreign trade in goods, technologies and services of strategic importance for state security, as well as for the maintenance of international peace and security (Dz.U.2017.1050</w:t>
            </w:r>
            <w:r>
              <w:rPr>
                <w:sz w:val="22"/>
                <w:szCs w:val="22"/>
                <w:lang w:val="en-US"/>
              </w:rPr>
              <w:t>,</w:t>
            </w:r>
            <w:r w:rsidRPr="00663221">
              <w:rPr>
                <w:sz w:val="22"/>
                <w:szCs w:val="22"/>
                <w:lang w:val="en-US"/>
              </w:rPr>
              <w:t xml:space="preserve"> </w:t>
            </w:r>
            <w:r>
              <w:rPr>
                <w:sz w:val="22"/>
                <w:szCs w:val="22"/>
                <w:lang w:val="en-US"/>
              </w:rPr>
              <w:t>consolidated text</w:t>
            </w:r>
            <w:r w:rsidRPr="00663221">
              <w:rPr>
                <w:sz w:val="22"/>
                <w:szCs w:val="22"/>
                <w:lang w:val="en-US"/>
              </w:rPr>
              <w:t>.), presenting a list of such goods.</w:t>
            </w:r>
          </w:p>
        </w:tc>
        <w:tc>
          <w:tcPr>
            <w:tcW w:w="2268" w:type="dxa"/>
            <w:tcBorders>
              <w:top w:val="single" w:sz="4" w:space="0" w:color="auto"/>
              <w:left w:val="single" w:sz="4" w:space="0" w:color="auto"/>
              <w:bottom w:val="single" w:sz="4" w:space="0" w:color="auto"/>
              <w:right w:val="single" w:sz="4" w:space="0" w:color="auto"/>
            </w:tcBorders>
          </w:tcPr>
          <w:p w14:paraId="4E7D95C5" w14:textId="553F24FD" w:rsidR="00804D1F" w:rsidRPr="00136F24" w:rsidRDefault="00804D1F" w:rsidP="00804D1F">
            <w:pPr>
              <w:autoSpaceDE w:val="0"/>
              <w:autoSpaceDN w:val="0"/>
              <w:adjustRightInd w:val="0"/>
              <w:jc w:val="center"/>
              <w:rPr>
                <w:b/>
                <w:bCs/>
              </w:rPr>
            </w:pPr>
            <w:r w:rsidRPr="00BB0033">
              <w:rPr>
                <w:smallCaps/>
                <w:sz w:val="22"/>
                <w:szCs w:val="22"/>
              </w:rPr>
              <w:t>YES/NO</w:t>
            </w:r>
          </w:p>
        </w:tc>
      </w:tr>
      <w:tr w:rsidR="00804D1F" w:rsidRPr="00136F24" w14:paraId="586B6751" w14:textId="77777777" w:rsidTr="00E3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1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A5A666" w14:textId="77777777" w:rsidR="00804D1F" w:rsidRPr="00136F24" w:rsidRDefault="00804D1F" w:rsidP="00804D1F">
            <w:pPr>
              <w:jc w:val="center"/>
            </w:pPr>
            <w:r w:rsidRPr="00136F24">
              <w:rPr>
                <w:sz w:val="22"/>
                <w:szCs w:val="22"/>
              </w:rPr>
              <w:t>4.2</w:t>
            </w:r>
          </w:p>
        </w:tc>
        <w:tc>
          <w:tcPr>
            <w:tcW w:w="11740" w:type="dxa"/>
            <w:tcBorders>
              <w:top w:val="single" w:sz="4" w:space="0" w:color="auto"/>
              <w:left w:val="single" w:sz="4" w:space="0" w:color="auto"/>
              <w:bottom w:val="single" w:sz="4" w:space="0" w:color="auto"/>
              <w:right w:val="single" w:sz="4" w:space="0" w:color="auto"/>
            </w:tcBorders>
            <w:shd w:val="clear" w:color="auto" w:fill="auto"/>
          </w:tcPr>
          <w:p w14:paraId="600AAA4C" w14:textId="77777777" w:rsidR="00E36C16" w:rsidRPr="003E0300" w:rsidRDefault="00E36C16" w:rsidP="00E36C16">
            <w:pPr>
              <w:ind w:left="52" w:right="206"/>
              <w:jc w:val="both"/>
              <w:rPr>
                <w:sz w:val="22"/>
                <w:szCs w:val="22"/>
                <w:lang w:val="en-US"/>
              </w:rPr>
            </w:pPr>
            <w:r w:rsidRPr="003E0300">
              <w:rPr>
                <w:sz w:val="22"/>
                <w:szCs w:val="22"/>
                <w:lang w:val="en-US"/>
              </w:rPr>
              <w:t>The information referred to in 4.1, in addition to the list of goods, must include the commodity control number determined in accordance with:</w:t>
            </w:r>
          </w:p>
          <w:p w14:paraId="143417F4" w14:textId="77777777" w:rsidR="00E36C16" w:rsidRPr="003E0300" w:rsidRDefault="00E36C16" w:rsidP="00E36C16">
            <w:pPr>
              <w:pStyle w:val="Akapitzlist"/>
              <w:numPr>
                <w:ilvl w:val="0"/>
                <w:numId w:val="4"/>
              </w:numPr>
              <w:ind w:right="206"/>
              <w:jc w:val="both"/>
              <w:rPr>
                <w:sz w:val="22"/>
                <w:szCs w:val="22"/>
                <w:lang w:val="en-US"/>
              </w:rPr>
            </w:pPr>
            <w:r w:rsidRPr="003E0300">
              <w:rPr>
                <w:sz w:val="22"/>
                <w:szCs w:val="22"/>
                <w:lang w:val="en-US"/>
              </w:rPr>
              <w:t>The Ordinance of the Minister of Entrepreneurship and Technology of 28 February 2018 on the list of armament for which a permit is required (Journal of Laws 2018, item 482) - for armament;</w:t>
            </w:r>
          </w:p>
          <w:p w14:paraId="156E1200" w14:textId="67ED31F1" w:rsidR="00804D1F" w:rsidRPr="00136F24" w:rsidRDefault="00E36C16" w:rsidP="00E36C16">
            <w:pPr>
              <w:pStyle w:val="Akapitzlist"/>
              <w:numPr>
                <w:ilvl w:val="0"/>
                <w:numId w:val="4"/>
              </w:numPr>
              <w:ind w:right="206"/>
              <w:jc w:val="both"/>
            </w:pPr>
            <w:r w:rsidRPr="003E0300">
              <w:rPr>
                <w:sz w:val="22"/>
                <w:szCs w:val="22"/>
                <w:lang w:val="en-US"/>
              </w:rPr>
              <w:t>Council Regulation (EC) No 428/2009 of 5 May 2009 setting up a Community regime for the control of exports, transfer, brokering and transit of dual use items (OJ EU 2009 L134/1 as amended) - for dual use items.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B54D83" w14:textId="11A1CC7C" w:rsidR="00804D1F" w:rsidRPr="00136F24" w:rsidRDefault="00804D1F" w:rsidP="00804D1F">
            <w:pPr>
              <w:autoSpaceDE w:val="0"/>
              <w:autoSpaceDN w:val="0"/>
              <w:adjustRightInd w:val="0"/>
              <w:jc w:val="center"/>
              <w:rPr>
                <w:smallCaps/>
              </w:rPr>
            </w:pPr>
            <w:r w:rsidRPr="00BB0033">
              <w:rPr>
                <w:smallCaps/>
                <w:sz w:val="22"/>
                <w:szCs w:val="22"/>
              </w:rPr>
              <w:t>YES/NO</w:t>
            </w:r>
          </w:p>
        </w:tc>
      </w:tr>
    </w:tbl>
    <w:p w14:paraId="2B676844" w14:textId="1C263F95" w:rsidR="00AC05D8" w:rsidRPr="00136F24" w:rsidRDefault="00804D1F">
      <w:r w:rsidRPr="00663221">
        <w:rPr>
          <w:lang w:val="en-US"/>
        </w:rPr>
        <w:t>* mark YES or NO in column 3</w:t>
      </w:r>
    </w:p>
    <w:p w14:paraId="3917CA60" w14:textId="77777777" w:rsidR="00C71592" w:rsidRPr="00136F24" w:rsidRDefault="00C71592"/>
    <w:p w14:paraId="53F3DCEB" w14:textId="77777777" w:rsidR="00804D1F" w:rsidRPr="00663221" w:rsidRDefault="00804D1F" w:rsidP="00804D1F">
      <w:pPr>
        <w:jc w:val="both"/>
        <w:rPr>
          <w:lang w:val="en-US"/>
        </w:rPr>
      </w:pPr>
      <w:r>
        <w:rPr>
          <w:lang w:val="en-US"/>
        </w:rPr>
        <w:t>The completed A</w:t>
      </w:r>
      <w:r w:rsidRPr="00663221">
        <w:rPr>
          <w:lang w:val="en-US"/>
        </w:rPr>
        <w:t xml:space="preserve">ppendix </w:t>
      </w:r>
      <w:r>
        <w:rPr>
          <w:lang w:val="en-US"/>
        </w:rPr>
        <w:t xml:space="preserve">No. </w:t>
      </w:r>
      <w:r w:rsidRPr="00663221">
        <w:rPr>
          <w:lang w:val="en-US"/>
        </w:rPr>
        <w:t xml:space="preserve">2 to the ToR, "REQUIRED PARAMETERS", submitted together with the </w:t>
      </w:r>
      <w:r>
        <w:rPr>
          <w:lang w:val="en-US"/>
        </w:rPr>
        <w:t>Tender</w:t>
      </w:r>
      <w:r w:rsidRPr="00663221">
        <w:rPr>
          <w:lang w:val="en-US"/>
        </w:rPr>
        <w:t xml:space="preserve">, is the </w:t>
      </w:r>
      <w:r>
        <w:rPr>
          <w:lang w:val="en-US"/>
        </w:rPr>
        <w:t>Contractor</w:t>
      </w:r>
      <w:r w:rsidRPr="00663221">
        <w:rPr>
          <w:lang w:val="en-US"/>
        </w:rPr>
        <w:t>'s declaration of intent relating in its content t</w:t>
      </w:r>
      <w:r>
        <w:rPr>
          <w:lang w:val="en-US"/>
        </w:rPr>
        <w:t>o the manner of performing the Agreement</w:t>
      </w:r>
      <w:r w:rsidRPr="00663221">
        <w:rPr>
          <w:lang w:val="en-US"/>
        </w:rPr>
        <w:t xml:space="preserve">. This means that the above document constitutes a part of the </w:t>
      </w:r>
      <w:r>
        <w:rPr>
          <w:lang w:val="en-US"/>
        </w:rPr>
        <w:t>Contractor</w:t>
      </w:r>
      <w:r w:rsidRPr="00663221">
        <w:rPr>
          <w:lang w:val="en-US"/>
        </w:rPr>
        <w:t xml:space="preserve">'s </w:t>
      </w:r>
      <w:r>
        <w:rPr>
          <w:lang w:val="en-US"/>
        </w:rPr>
        <w:t>Tender</w:t>
      </w:r>
      <w:r w:rsidRPr="00663221">
        <w:rPr>
          <w:lang w:val="en-US"/>
        </w:rPr>
        <w:t xml:space="preserve"> and will be subject to examination by the </w:t>
      </w:r>
      <w:r>
        <w:rPr>
          <w:lang w:val="en-US"/>
        </w:rPr>
        <w:t>Awarding Entity</w:t>
      </w:r>
      <w:r w:rsidRPr="00663221">
        <w:rPr>
          <w:lang w:val="en-US"/>
        </w:rPr>
        <w:t xml:space="preserve"> as regards the compliance</w:t>
      </w:r>
      <w:r>
        <w:rPr>
          <w:lang w:val="en-US"/>
        </w:rPr>
        <w:t xml:space="preserve"> of the tendered subject of the Agreement</w:t>
      </w:r>
      <w:r w:rsidRPr="00663221">
        <w:rPr>
          <w:lang w:val="en-US"/>
        </w:rPr>
        <w:t xml:space="preserve"> with the requirements specified in the ToR.</w:t>
      </w:r>
    </w:p>
    <w:p w14:paraId="4D6EFBDC" w14:textId="77777777" w:rsidR="00804D1F" w:rsidRPr="00663221" w:rsidRDefault="00804D1F" w:rsidP="00804D1F">
      <w:pPr>
        <w:rPr>
          <w:lang w:val="en-US"/>
        </w:rPr>
      </w:pPr>
    </w:p>
    <w:p w14:paraId="0F4EBA02" w14:textId="77777777" w:rsidR="00804D1F" w:rsidRPr="00663221" w:rsidRDefault="00804D1F" w:rsidP="00804D1F">
      <w:pPr>
        <w:jc w:val="center"/>
        <w:rPr>
          <w:i/>
          <w:iCs/>
          <w:sz w:val="22"/>
          <w:szCs w:val="22"/>
          <w:lang w:val="en-US"/>
        </w:rPr>
      </w:pPr>
    </w:p>
    <w:p w14:paraId="5A429D24" w14:textId="77777777" w:rsidR="00804D1F" w:rsidRPr="00663221" w:rsidRDefault="00804D1F" w:rsidP="00804D1F">
      <w:pPr>
        <w:jc w:val="center"/>
        <w:rPr>
          <w:i/>
          <w:iCs/>
          <w:sz w:val="22"/>
          <w:szCs w:val="22"/>
          <w:lang w:val="en-US"/>
        </w:rPr>
      </w:pPr>
    </w:p>
    <w:p w14:paraId="489353AE" w14:textId="77777777" w:rsidR="00804D1F" w:rsidRPr="00663221" w:rsidRDefault="00804D1F" w:rsidP="00804D1F">
      <w:pPr>
        <w:jc w:val="center"/>
        <w:rPr>
          <w:i/>
          <w:iCs/>
          <w:sz w:val="22"/>
          <w:szCs w:val="22"/>
          <w:lang w:val="en-US"/>
        </w:rPr>
      </w:pPr>
    </w:p>
    <w:p w14:paraId="7D4BF964" w14:textId="77777777" w:rsidR="004759F7" w:rsidRPr="00F00E70" w:rsidRDefault="004759F7" w:rsidP="004759F7">
      <w:pPr>
        <w:widowControl w:val="0"/>
        <w:shd w:val="clear" w:color="auto" w:fill="FFFFFF"/>
        <w:autoSpaceDE w:val="0"/>
        <w:autoSpaceDN w:val="0"/>
        <w:adjustRightInd w:val="0"/>
        <w:jc w:val="center"/>
        <w:rPr>
          <w:rFonts w:eastAsia="Calibri"/>
        </w:rPr>
      </w:pPr>
      <w:r w:rsidRPr="00F00E70">
        <w:rPr>
          <w:rFonts w:eastAsia="Arial Unicode MS"/>
          <w:b/>
          <w:i/>
          <w:sz w:val="20"/>
          <w:szCs w:val="20"/>
          <w:u w:val="single"/>
          <w:lang w:val="en-US"/>
        </w:rPr>
        <w:t>The document should be signed with a qualified electronic signature by persons authorized to represent the Contractor</w:t>
      </w:r>
      <w:r w:rsidRPr="00F00E70">
        <w:rPr>
          <w:rFonts w:eastAsia="Arial Unicode MS"/>
          <w:b/>
          <w:i/>
          <w:sz w:val="22"/>
          <w:szCs w:val="22"/>
          <w:u w:val="single"/>
          <w:lang w:val="en-US"/>
        </w:rPr>
        <w:t>.</w:t>
      </w:r>
    </w:p>
    <w:p w14:paraId="12F370EC" w14:textId="77777777" w:rsidR="00C71592" w:rsidRDefault="00C71592"/>
    <w:sectPr w:rsidR="00C71592" w:rsidSect="00136F24">
      <w:footerReference w:type="default" r:id="rId7"/>
      <w:pgSz w:w="16838" w:h="11906" w:orient="landscape"/>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DD09" w14:textId="77777777" w:rsidR="00377CDE" w:rsidRDefault="00377CDE" w:rsidP="006225AD">
      <w:r>
        <w:separator/>
      </w:r>
    </w:p>
  </w:endnote>
  <w:endnote w:type="continuationSeparator" w:id="0">
    <w:p w14:paraId="5C53DF37" w14:textId="77777777" w:rsidR="00377CDE" w:rsidRDefault="00377CDE" w:rsidP="0062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24979"/>
      <w:docPartObj>
        <w:docPartGallery w:val="Page Numbers (Bottom of Page)"/>
        <w:docPartUnique/>
      </w:docPartObj>
    </w:sdtPr>
    <w:sdtEndPr/>
    <w:sdtContent>
      <w:p w14:paraId="09AD7223" w14:textId="7CD33F06" w:rsidR="006225AD" w:rsidRDefault="00237346">
        <w:pPr>
          <w:pStyle w:val="Stopka"/>
          <w:jc w:val="right"/>
        </w:pPr>
        <w:r w:rsidRPr="006225AD">
          <w:rPr>
            <w:sz w:val="22"/>
          </w:rPr>
          <w:fldChar w:fldCharType="begin"/>
        </w:r>
        <w:r w:rsidR="006225AD" w:rsidRPr="006225AD">
          <w:rPr>
            <w:sz w:val="22"/>
          </w:rPr>
          <w:instrText xml:space="preserve"> PAGE   \* MERGEFORMAT </w:instrText>
        </w:r>
        <w:r w:rsidRPr="006225AD">
          <w:rPr>
            <w:sz w:val="22"/>
          </w:rPr>
          <w:fldChar w:fldCharType="separate"/>
        </w:r>
        <w:r w:rsidR="0002055A">
          <w:rPr>
            <w:noProof/>
            <w:sz w:val="22"/>
          </w:rPr>
          <w:t>3</w:t>
        </w:r>
        <w:r w:rsidRPr="006225AD">
          <w:rPr>
            <w:sz w:val="22"/>
          </w:rPr>
          <w:fldChar w:fldCharType="end"/>
        </w:r>
      </w:p>
    </w:sdtContent>
  </w:sdt>
  <w:p w14:paraId="5E00713E" w14:textId="77777777" w:rsidR="006225AD" w:rsidRDefault="006225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96EC" w14:textId="77777777" w:rsidR="00377CDE" w:rsidRDefault="00377CDE" w:rsidP="006225AD">
      <w:r>
        <w:separator/>
      </w:r>
    </w:p>
  </w:footnote>
  <w:footnote w:type="continuationSeparator" w:id="0">
    <w:p w14:paraId="28A91BA1" w14:textId="77777777" w:rsidR="00377CDE" w:rsidRDefault="00377CDE" w:rsidP="006225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5A5"/>
    <w:multiLevelType w:val="hybridMultilevel"/>
    <w:tmpl w:val="DCE61712"/>
    <w:lvl w:ilvl="0" w:tplc="D35044BA">
      <w:start w:val="1"/>
      <w:numFmt w:val="decimal"/>
      <w:lvlText w:val="%1."/>
      <w:lvlJc w:val="left"/>
      <w:pPr>
        <w:tabs>
          <w:tab w:val="num" w:pos="720"/>
        </w:tabs>
        <w:ind w:left="720" w:hanging="360"/>
      </w:pPr>
      <w:rPr>
        <w:rFonts w:hint="default"/>
      </w:rPr>
    </w:lvl>
    <w:lvl w:ilvl="1" w:tplc="6A329D4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DA7007"/>
    <w:multiLevelType w:val="hybridMultilevel"/>
    <w:tmpl w:val="3D8C77D2"/>
    <w:lvl w:ilvl="0" w:tplc="E3C2381E">
      <w:start w:val="1"/>
      <w:numFmt w:val="lowerLetter"/>
      <w:lvlText w:val="%1)"/>
      <w:lvlJc w:val="left"/>
      <w:pPr>
        <w:ind w:left="568"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 w15:restartNumberingAfterBreak="0">
    <w:nsid w:val="1E4A3EAD"/>
    <w:multiLevelType w:val="hybridMultilevel"/>
    <w:tmpl w:val="862EFC72"/>
    <w:lvl w:ilvl="0" w:tplc="28D019A4">
      <w:start w:val="1"/>
      <w:numFmt w:val="lowerLetter"/>
      <w:lvlText w:val="%1)"/>
      <w:lvlJc w:val="left"/>
      <w:pPr>
        <w:ind w:left="568"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3" w15:restartNumberingAfterBreak="0">
    <w:nsid w:val="374B6A20"/>
    <w:multiLevelType w:val="hybridMultilevel"/>
    <w:tmpl w:val="01580F76"/>
    <w:lvl w:ilvl="0" w:tplc="28D019A4">
      <w:start w:val="1"/>
      <w:numFmt w:val="lowerLetter"/>
      <w:lvlText w:val="%1)"/>
      <w:lvlJc w:val="left"/>
      <w:pPr>
        <w:ind w:left="568"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06"/>
    <w:rsid w:val="0002055A"/>
    <w:rsid w:val="0006426B"/>
    <w:rsid w:val="000965DA"/>
    <w:rsid w:val="000F4A3E"/>
    <w:rsid w:val="001109B7"/>
    <w:rsid w:val="00132A87"/>
    <w:rsid w:val="00136F24"/>
    <w:rsid w:val="00137B90"/>
    <w:rsid w:val="00151B49"/>
    <w:rsid w:val="001652D4"/>
    <w:rsid w:val="00175707"/>
    <w:rsid w:val="001E5EC2"/>
    <w:rsid w:val="00237346"/>
    <w:rsid w:val="00275DC0"/>
    <w:rsid w:val="002A5FF2"/>
    <w:rsid w:val="00314676"/>
    <w:rsid w:val="00326133"/>
    <w:rsid w:val="00332A6A"/>
    <w:rsid w:val="00377CDE"/>
    <w:rsid w:val="00384816"/>
    <w:rsid w:val="003C065C"/>
    <w:rsid w:val="003C28D3"/>
    <w:rsid w:val="00417A84"/>
    <w:rsid w:val="004255A2"/>
    <w:rsid w:val="00441463"/>
    <w:rsid w:val="0046291E"/>
    <w:rsid w:val="004759F7"/>
    <w:rsid w:val="004E26AA"/>
    <w:rsid w:val="004F1B4C"/>
    <w:rsid w:val="005066E1"/>
    <w:rsid w:val="00513BF0"/>
    <w:rsid w:val="005171EC"/>
    <w:rsid w:val="00532A7B"/>
    <w:rsid w:val="005A5354"/>
    <w:rsid w:val="005C3E88"/>
    <w:rsid w:val="005C5014"/>
    <w:rsid w:val="005D04CF"/>
    <w:rsid w:val="00615FFD"/>
    <w:rsid w:val="006174BA"/>
    <w:rsid w:val="006225AD"/>
    <w:rsid w:val="00651D72"/>
    <w:rsid w:val="00656CF1"/>
    <w:rsid w:val="006637AF"/>
    <w:rsid w:val="006641A3"/>
    <w:rsid w:val="006722AC"/>
    <w:rsid w:val="00675D28"/>
    <w:rsid w:val="006C738E"/>
    <w:rsid w:val="006E3488"/>
    <w:rsid w:val="006F03CA"/>
    <w:rsid w:val="006F3FCD"/>
    <w:rsid w:val="0070157A"/>
    <w:rsid w:val="00731371"/>
    <w:rsid w:val="00736C78"/>
    <w:rsid w:val="00762BCD"/>
    <w:rsid w:val="00763334"/>
    <w:rsid w:val="007C4231"/>
    <w:rsid w:val="007D54D7"/>
    <w:rsid w:val="00804D1F"/>
    <w:rsid w:val="008951CE"/>
    <w:rsid w:val="00912748"/>
    <w:rsid w:val="00916653"/>
    <w:rsid w:val="009B54A0"/>
    <w:rsid w:val="009C3B59"/>
    <w:rsid w:val="009D020D"/>
    <w:rsid w:val="009D3F3A"/>
    <w:rsid w:val="009E345F"/>
    <w:rsid w:val="00A00E33"/>
    <w:rsid w:val="00A44032"/>
    <w:rsid w:val="00A72598"/>
    <w:rsid w:val="00AA1E6B"/>
    <w:rsid w:val="00AA777B"/>
    <w:rsid w:val="00AC05D8"/>
    <w:rsid w:val="00AC57CC"/>
    <w:rsid w:val="00AF04F8"/>
    <w:rsid w:val="00AF406C"/>
    <w:rsid w:val="00B45793"/>
    <w:rsid w:val="00B70E51"/>
    <w:rsid w:val="00B75773"/>
    <w:rsid w:val="00B85505"/>
    <w:rsid w:val="00B941E2"/>
    <w:rsid w:val="00BC3808"/>
    <w:rsid w:val="00BE5267"/>
    <w:rsid w:val="00BF5A5C"/>
    <w:rsid w:val="00C3102A"/>
    <w:rsid w:val="00C445DA"/>
    <w:rsid w:val="00C71592"/>
    <w:rsid w:val="00C8598A"/>
    <w:rsid w:val="00CA4FDE"/>
    <w:rsid w:val="00CD1EDC"/>
    <w:rsid w:val="00CE5F99"/>
    <w:rsid w:val="00D02DF4"/>
    <w:rsid w:val="00D11324"/>
    <w:rsid w:val="00D20FAF"/>
    <w:rsid w:val="00D2394B"/>
    <w:rsid w:val="00D6766A"/>
    <w:rsid w:val="00E36C16"/>
    <w:rsid w:val="00E62090"/>
    <w:rsid w:val="00EE1F1A"/>
    <w:rsid w:val="00EE3589"/>
    <w:rsid w:val="00EF0E06"/>
    <w:rsid w:val="00F21B2B"/>
    <w:rsid w:val="00F82C48"/>
    <w:rsid w:val="00F870A9"/>
    <w:rsid w:val="00F92F39"/>
    <w:rsid w:val="00F96B7D"/>
    <w:rsid w:val="00FB388D"/>
    <w:rsid w:val="00FE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B065"/>
  <w15:docId w15:val="{54BF899A-8F52-4E88-BAD9-840340FE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E06"/>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qFormat/>
    <w:rsid w:val="00EF0E06"/>
    <w:pPr>
      <w:keepNext/>
      <w:jc w:val="center"/>
      <w:outlineLvl w:val="4"/>
    </w:pPr>
    <w:rPr>
      <w:rFonts w:ascii="Garamond" w:hAnsi="Garamond"/>
      <w:b/>
      <w:bCs/>
      <w:sz w:val="20"/>
    </w:rPr>
  </w:style>
  <w:style w:type="paragraph" w:styleId="Nagwek6">
    <w:name w:val="heading 6"/>
    <w:basedOn w:val="Normalny"/>
    <w:next w:val="Normalny"/>
    <w:link w:val="Nagwek6Znak"/>
    <w:qFormat/>
    <w:rsid w:val="00EF0E06"/>
    <w:pPr>
      <w:keepNext/>
      <w:ind w:right="-582"/>
      <w:outlineLvl w:val="5"/>
    </w:pPr>
    <w:rPr>
      <w:rFonts w:ascii="Garamond" w:hAnsi="Garamond"/>
      <w:b/>
      <w:bCs/>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F0E06"/>
    <w:rPr>
      <w:rFonts w:ascii="Garamond" w:eastAsia="Times New Roman" w:hAnsi="Garamond" w:cs="Times New Roman"/>
      <w:b/>
      <w:bCs/>
      <w:sz w:val="20"/>
      <w:szCs w:val="24"/>
      <w:lang w:eastAsia="pl-PL"/>
    </w:rPr>
  </w:style>
  <w:style w:type="character" w:customStyle="1" w:styleId="Nagwek6Znak">
    <w:name w:val="Nagłówek 6 Znak"/>
    <w:basedOn w:val="Domylnaczcionkaakapitu"/>
    <w:link w:val="Nagwek6"/>
    <w:rsid w:val="00EF0E06"/>
    <w:rPr>
      <w:rFonts w:ascii="Garamond" w:eastAsia="Times New Roman" w:hAnsi="Garamond" w:cs="Times New Roman"/>
      <w:b/>
      <w:bCs/>
      <w:sz w:val="32"/>
      <w:szCs w:val="24"/>
      <w:u w:val="single"/>
      <w:lang w:eastAsia="pl-PL"/>
    </w:rPr>
  </w:style>
  <w:style w:type="paragraph" w:customStyle="1" w:styleId="Tekstpodstawowywcity31">
    <w:name w:val="Tekst podstawowy wcięty 31"/>
    <w:basedOn w:val="Normalny"/>
    <w:rsid w:val="00EF0E06"/>
    <w:pPr>
      <w:overflowPunct w:val="0"/>
      <w:autoSpaceDE w:val="0"/>
      <w:autoSpaceDN w:val="0"/>
      <w:adjustRightInd w:val="0"/>
      <w:ind w:left="360"/>
    </w:pPr>
    <w:rPr>
      <w:rFonts w:ascii="Arial" w:hAnsi="Arial"/>
      <w:i/>
      <w:szCs w:val="20"/>
    </w:rPr>
  </w:style>
  <w:style w:type="character" w:styleId="Odwoaniedokomentarza">
    <w:name w:val="annotation reference"/>
    <w:basedOn w:val="Domylnaczcionkaakapitu"/>
    <w:uiPriority w:val="99"/>
    <w:semiHidden/>
    <w:unhideWhenUsed/>
    <w:rsid w:val="007D54D7"/>
    <w:rPr>
      <w:sz w:val="16"/>
      <w:szCs w:val="16"/>
    </w:rPr>
  </w:style>
  <w:style w:type="paragraph" w:styleId="Tekstkomentarza">
    <w:name w:val="annotation text"/>
    <w:basedOn w:val="Normalny"/>
    <w:link w:val="TekstkomentarzaZnak"/>
    <w:uiPriority w:val="99"/>
    <w:semiHidden/>
    <w:unhideWhenUsed/>
    <w:rsid w:val="007D54D7"/>
    <w:rPr>
      <w:sz w:val="20"/>
      <w:szCs w:val="20"/>
    </w:rPr>
  </w:style>
  <w:style w:type="character" w:customStyle="1" w:styleId="TekstkomentarzaZnak">
    <w:name w:val="Tekst komentarza Znak"/>
    <w:basedOn w:val="Domylnaczcionkaakapitu"/>
    <w:link w:val="Tekstkomentarza"/>
    <w:uiPriority w:val="99"/>
    <w:semiHidden/>
    <w:rsid w:val="007D54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54D7"/>
    <w:rPr>
      <w:b/>
      <w:bCs/>
    </w:rPr>
  </w:style>
  <w:style w:type="character" w:customStyle="1" w:styleId="TematkomentarzaZnak">
    <w:name w:val="Temat komentarza Znak"/>
    <w:basedOn w:val="TekstkomentarzaZnak"/>
    <w:link w:val="Tematkomentarza"/>
    <w:uiPriority w:val="99"/>
    <w:semiHidden/>
    <w:rsid w:val="007D54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D54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54D7"/>
    <w:rPr>
      <w:rFonts w:ascii="Segoe UI" w:eastAsia="Times New Roman" w:hAnsi="Segoe UI" w:cs="Segoe UI"/>
      <w:sz w:val="18"/>
      <w:szCs w:val="18"/>
      <w:lang w:eastAsia="pl-PL"/>
    </w:rPr>
  </w:style>
  <w:style w:type="paragraph" w:styleId="Akapitzlist">
    <w:name w:val="List Paragraph"/>
    <w:basedOn w:val="Normalny"/>
    <w:uiPriority w:val="34"/>
    <w:qFormat/>
    <w:rsid w:val="00912748"/>
    <w:pPr>
      <w:ind w:left="720"/>
      <w:contextualSpacing/>
    </w:pPr>
  </w:style>
  <w:style w:type="paragraph" w:styleId="Nagwek">
    <w:name w:val="header"/>
    <w:basedOn w:val="Normalny"/>
    <w:link w:val="NagwekZnak"/>
    <w:uiPriority w:val="99"/>
    <w:semiHidden/>
    <w:unhideWhenUsed/>
    <w:rsid w:val="006225AD"/>
    <w:pPr>
      <w:tabs>
        <w:tab w:val="center" w:pos="4536"/>
        <w:tab w:val="right" w:pos="9072"/>
      </w:tabs>
    </w:pPr>
  </w:style>
  <w:style w:type="character" w:customStyle="1" w:styleId="NagwekZnak">
    <w:name w:val="Nagłówek Znak"/>
    <w:basedOn w:val="Domylnaczcionkaakapitu"/>
    <w:link w:val="Nagwek"/>
    <w:uiPriority w:val="99"/>
    <w:semiHidden/>
    <w:rsid w:val="006225A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225AD"/>
    <w:pPr>
      <w:tabs>
        <w:tab w:val="center" w:pos="4536"/>
        <w:tab w:val="right" w:pos="9072"/>
      </w:tabs>
    </w:pPr>
  </w:style>
  <w:style w:type="character" w:customStyle="1" w:styleId="StopkaZnak">
    <w:name w:val="Stopka Znak"/>
    <w:basedOn w:val="Domylnaczcionkaakapitu"/>
    <w:link w:val="Stopka"/>
    <w:uiPriority w:val="99"/>
    <w:rsid w:val="006225AD"/>
    <w:rPr>
      <w:rFonts w:ascii="Times New Roman" w:eastAsia="Times New Roman" w:hAnsi="Times New Roman" w:cs="Times New Roman"/>
      <w:sz w:val="24"/>
      <w:szCs w:val="24"/>
      <w:lang w:eastAsia="pl-PL"/>
    </w:rPr>
  </w:style>
  <w:style w:type="character" w:customStyle="1" w:styleId="acopre">
    <w:name w:val="acopre"/>
    <w:basedOn w:val="Domylnaczcionkaakapitu"/>
    <w:rsid w:val="005A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2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5305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Kurmanowska</dc:creator>
  <cp:keywords/>
  <dc:description/>
  <cp:lastModifiedBy>Karolina Biela</cp:lastModifiedBy>
  <cp:revision>2</cp:revision>
  <cp:lastPrinted>2021-06-28T11:16:00Z</cp:lastPrinted>
  <dcterms:created xsi:type="dcterms:W3CDTF">2021-08-03T11:18:00Z</dcterms:created>
  <dcterms:modified xsi:type="dcterms:W3CDTF">2021-08-03T11:18:00Z</dcterms:modified>
</cp:coreProperties>
</file>